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C4" w:rsidRDefault="00220CC4"/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Default="00220CC4">
      <w:pPr>
        <w:rPr>
          <w:rFonts w:asciiTheme="majorHAnsi" w:hAnsiTheme="majorHAnsi"/>
          <w:sz w:val="24"/>
          <w:szCs w:val="24"/>
        </w:rPr>
      </w:pPr>
    </w:p>
    <w:p w:rsidR="00D51264" w:rsidRDefault="00D51264">
      <w:pPr>
        <w:rPr>
          <w:rFonts w:asciiTheme="majorHAnsi" w:hAnsiTheme="majorHAnsi"/>
          <w:sz w:val="24"/>
          <w:szCs w:val="24"/>
        </w:rPr>
      </w:pPr>
    </w:p>
    <w:p w:rsidR="00D51264" w:rsidRPr="00DB01A8" w:rsidRDefault="00D5126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>
      <w:pPr>
        <w:rPr>
          <w:rFonts w:asciiTheme="majorHAnsi" w:hAnsiTheme="majorHAnsi"/>
          <w:sz w:val="24"/>
          <w:szCs w:val="24"/>
        </w:rPr>
      </w:pPr>
    </w:p>
    <w:p w:rsidR="00220CC4" w:rsidRPr="00DB01A8" w:rsidRDefault="00CE5665">
      <w:pPr>
        <w:rPr>
          <w:rFonts w:asciiTheme="majorHAnsi" w:hAnsiTheme="majorHAnsi"/>
          <w:sz w:val="24"/>
          <w:szCs w:val="24"/>
        </w:rPr>
      </w:pPr>
      <w:r w:rsidRPr="00CE5665">
        <w:rPr>
          <w:rFonts w:asciiTheme="majorHAnsi" w:hAnsiTheme="majorHAns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ТЕХНИЧЕСКА  СПЕЦИФИКАЦИЯ"/>
          </v:shape>
        </w:pict>
      </w: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rPr>
          <w:rFonts w:asciiTheme="majorHAnsi" w:hAnsiTheme="majorHAnsi"/>
          <w:sz w:val="24"/>
          <w:szCs w:val="24"/>
        </w:rPr>
      </w:pPr>
    </w:p>
    <w:p w:rsidR="00220CC4" w:rsidRPr="004E3BD3" w:rsidRDefault="00220CC4" w:rsidP="00A66D83">
      <w:pPr>
        <w:shd w:val="clear" w:color="auto" w:fill="FFFFFF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DB01A8">
        <w:rPr>
          <w:rFonts w:asciiTheme="majorHAnsi" w:hAnsiTheme="majorHAnsi"/>
          <w:sz w:val="28"/>
          <w:szCs w:val="28"/>
        </w:rPr>
        <w:tab/>
      </w:r>
      <w:r w:rsidR="004E3BD3" w:rsidRPr="004E3BD3">
        <w:rPr>
          <w:b/>
          <w:sz w:val="28"/>
          <w:szCs w:val="28"/>
        </w:rPr>
        <w:t xml:space="preserve">„Мерки за енергийна ефективност на МСЖ в гр. Панагюрище, ул. „Георги Бенковски” №18, рег. № 392-20ПМ-005-289 на СФПИОЕЕ” във връзка с изпълнение на Национална програма за енергийна ефективност на </w:t>
      </w:r>
      <w:proofErr w:type="spellStart"/>
      <w:r w:rsidR="004E3BD3" w:rsidRPr="004E3BD3">
        <w:rPr>
          <w:b/>
          <w:sz w:val="28"/>
          <w:szCs w:val="28"/>
        </w:rPr>
        <w:t>многофамилни</w:t>
      </w:r>
      <w:proofErr w:type="spellEnd"/>
      <w:r w:rsidR="004E3BD3" w:rsidRPr="004E3BD3">
        <w:rPr>
          <w:b/>
          <w:sz w:val="28"/>
          <w:szCs w:val="28"/>
        </w:rPr>
        <w:t xml:space="preserve"> жилищни сгради</w:t>
      </w: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/>
          <w:sz w:val="24"/>
          <w:szCs w:val="24"/>
        </w:rPr>
      </w:pPr>
    </w:p>
    <w:p w:rsid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220CC4" w:rsidRPr="00DB01A8" w:rsidRDefault="00DB01A8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6985</wp:posOffset>
            </wp:positionV>
            <wp:extent cx="2047875" cy="942975"/>
            <wp:effectExtent l="19050" t="0" r="9525" b="0"/>
            <wp:wrapNone/>
            <wp:docPr id="1" name="Картина 7" descr="Pasted Image #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Pasted Image #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D51264" w:rsidRDefault="00D51264" w:rsidP="00B62709">
      <w:pPr>
        <w:shd w:val="clear" w:color="auto" w:fill="FFFFFF"/>
        <w:spacing w:before="922"/>
        <w:ind w:left="562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51264" w:rsidRDefault="00220CC4" w:rsidP="00D51264">
      <w:pPr>
        <w:shd w:val="clear" w:color="auto" w:fill="FFFFFF"/>
        <w:spacing w:before="922"/>
        <w:ind w:left="562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lang w:val="en-US"/>
        </w:rPr>
        <w:lastRenderedPageBreak/>
        <w:t xml:space="preserve">I. 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ВЪЗЛОЖИТЕЛ НА ОБЩЕСТВЕНАТА ПОРЪЧКА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pacing w:val="-1"/>
          <w:sz w:val="24"/>
          <w:szCs w:val="24"/>
        </w:rPr>
        <w:t>Община Панагюрище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4500 гр. Панагюрище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пл. 20-ти април 13 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Телефон: 0357 60041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Факс: 0357 63068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Електронна поща: </w:t>
      </w:r>
      <w:hyperlink r:id="rId8" w:history="1">
        <w:r w:rsidRPr="00DB01A8">
          <w:rPr>
            <w:rStyle w:val="aa"/>
            <w:rFonts w:asciiTheme="majorHAnsi" w:hAnsiTheme="majorHAnsi" w:cs="Arial"/>
            <w:color w:val="auto"/>
            <w:sz w:val="24"/>
            <w:szCs w:val="24"/>
            <w:u w:val="none"/>
          </w:rPr>
          <w:t>obstina@abv.bg</w:t>
        </w:r>
      </w:hyperlink>
      <w:r w:rsidRPr="00DB01A8">
        <w:rPr>
          <w:rStyle w:val="ac"/>
          <w:rFonts w:asciiTheme="majorHAnsi" w:hAnsiTheme="majorHAnsi" w:cs="Arial"/>
          <w:b w:val="0"/>
          <w:bCs w:val="0"/>
          <w:sz w:val="24"/>
          <w:szCs w:val="24"/>
        </w:rPr>
        <w:t>;</w:t>
      </w:r>
      <w:r w:rsidRPr="00DB01A8">
        <w:rPr>
          <w:rStyle w:val="apple-converted-space"/>
          <w:rFonts w:asciiTheme="majorHAnsi" w:hAnsiTheme="majorHAnsi" w:cs="Arial"/>
          <w:sz w:val="24"/>
          <w:szCs w:val="24"/>
        </w:rPr>
        <w:t> </w:t>
      </w:r>
      <w:hyperlink r:id="rId9" w:history="1">
        <w:r w:rsidRPr="00DB01A8">
          <w:rPr>
            <w:rStyle w:val="aa"/>
            <w:rFonts w:asciiTheme="majorHAnsi" w:hAnsiTheme="majorHAnsi" w:cs="Arial"/>
            <w:color w:val="auto"/>
            <w:sz w:val="24"/>
            <w:szCs w:val="24"/>
            <w:u w:val="none"/>
          </w:rPr>
          <w:t>oba.panagyurishte@gmail.com</w:t>
        </w:r>
      </w:hyperlink>
    </w:p>
    <w:p w:rsidR="00D51264" w:rsidRPr="00D51264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pacing w:val="-2"/>
          <w:sz w:val="24"/>
          <w:szCs w:val="24"/>
        </w:rPr>
        <w:t xml:space="preserve">Адрес на профила на купувача: </w:t>
      </w:r>
      <w:r w:rsidR="00D51264">
        <w:rPr>
          <w:rFonts w:asciiTheme="majorHAnsi" w:hAnsiTheme="majorHAnsi" w:cs="Arial"/>
          <w:color w:val="000000"/>
          <w:spacing w:val="-2"/>
          <w:sz w:val="24"/>
          <w:szCs w:val="24"/>
        </w:rPr>
        <w:t xml:space="preserve"> </w:t>
      </w:r>
      <w:hyperlink r:id="rId10" w:history="1">
        <w:r w:rsidR="00D51264" w:rsidRPr="00D51264">
          <w:rPr>
            <w:rStyle w:val="aa"/>
            <w:sz w:val="24"/>
            <w:szCs w:val="24"/>
          </w:rPr>
          <w:t>http://panagyurishte.nit.bg/sbirane-na-oferti-s-obyava-ili-pokani-doopredeleni-licza/merki-za-energijna-efektivnost-na-mszh-v-gr.-panagyurishhe,-ul.-georgi-benkovski-%E2%84%9618/</w:t>
        </w:r>
      </w:hyperlink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Булстат 000351743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  <w:r w:rsidRPr="00DB01A8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Лице за контакт: </w:t>
      </w:r>
      <w:r w:rsidR="00D51264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инж. Златка </w:t>
      </w:r>
      <w:proofErr w:type="spellStart"/>
      <w:r w:rsidR="00D51264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>Рупова</w:t>
      </w:r>
      <w:proofErr w:type="spellEnd"/>
      <w:r w:rsidR="00D51264">
        <w:rPr>
          <w:rStyle w:val="ac"/>
          <w:rFonts w:asciiTheme="majorHAnsi" w:hAnsiTheme="majorHAnsi" w:cs="Arial"/>
          <w:b w:val="0"/>
          <w:bCs w:val="0"/>
          <w:color w:val="21252C"/>
          <w:sz w:val="24"/>
          <w:szCs w:val="24"/>
        </w:rPr>
        <w:t xml:space="preserve"> – гл. експерт „ИДПП” – 0357 60075</w:t>
      </w:r>
    </w:p>
    <w:p w:rsidR="00220CC4" w:rsidRPr="00DB01A8" w:rsidRDefault="00220CC4" w:rsidP="00B62709">
      <w:pPr>
        <w:shd w:val="clear" w:color="auto" w:fill="FFFFFF"/>
        <w:spacing w:line="276" w:lineRule="auto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</w:p>
    <w:p w:rsidR="00220CC4" w:rsidRPr="00DB01A8" w:rsidRDefault="00220CC4" w:rsidP="00B62709">
      <w:pPr>
        <w:shd w:val="clear" w:color="auto" w:fill="FFFFFF"/>
        <w:spacing w:line="274" w:lineRule="exact"/>
        <w:ind w:left="5" w:firstLine="571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</w:p>
    <w:p w:rsidR="00220CC4" w:rsidRPr="00DB01A8" w:rsidRDefault="00220CC4" w:rsidP="00B62709">
      <w:pPr>
        <w:shd w:val="clear" w:color="auto" w:fill="FFFFFF"/>
        <w:tabs>
          <w:tab w:val="left" w:pos="994"/>
        </w:tabs>
        <w:spacing w:before="120" w:line="278" w:lineRule="exact"/>
        <w:ind w:left="10" w:firstLine="586"/>
        <w:jc w:val="both"/>
        <w:rPr>
          <w:rFonts w:asciiTheme="majorHAnsi" w:hAnsiTheme="majorHAnsi" w:cs="Arial"/>
          <w:color w:val="000000"/>
          <w:spacing w:val="-13"/>
          <w:sz w:val="24"/>
          <w:szCs w:val="24"/>
          <w:lang w:val="en-US"/>
        </w:rPr>
      </w:pPr>
      <w:r w:rsidRPr="00DB01A8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II.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>ПРЕДМЕТ И ОБЕКТ НА ОБЩЕСТВЕНАТА ПОРЪЧКА</w:t>
      </w:r>
      <w:r w:rsidRPr="00DB01A8">
        <w:rPr>
          <w:rFonts w:asciiTheme="majorHAnsi" w:hAnsiTheme="majorHAnsi" w:cs="Arial"/>
          <w:color w:val="000000"/>
          <w:spacing w:val="-13"/>
          <w:sz w:val="24"/>
          <w:szCs w:val="24"/>
        </w:rPr>
        <w:t xml:space="preserve"> </w:t>
      </w:r>
    </w:p>
    <w:p w:rsidR="00220CC4" w:rsidRPr="00DB01A8" w:rsidRDefault="00220CC4" w:rsidP="00B62709">
      <w:pPr>
        <w:shd w:val="clear" w:color="auto" w:fill="FFFFFF"/>
        <w:jc w:val="both"/>
        <w:rPr>
          <w:rFonts w:asciiTheme="majorHAnsi" w:hAnsiTheme="majorHAnsi" w:cs="Arial"/>
          <w:color w:val="000000"/>
          <w:spacing w:val="-1"/>
          <w:sz w:val="24"/>
          <w:szCs w:val="24"/>
        </w:rPr>
      </w:pPr>
    </w:p>
    <w:p w:rsidR="004E3BD3" w:rsidRDefault="00220CC4" w:rsidP="004E3BD3">
      <w:pPr>
        <w:shd w:val="clear" w:color="auto" w:fill="FFFFFF"/>
        <w:spacing w:line="276" w:lineRule="auto"/>
        <w:ind w:firstLine="540"/>
        <w:jc w:val="both"/>
        <w:rPr>
          <w:b/>
          <w:sz w:val="24"/>
          <w:szCs w:val="24"/>
        </w:rPr>
      </w:pPr>
      <w:r w:rsidRPr="004E3BD3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>Предметът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 на обществената поръчка 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  <w:lang w:val="en-US"/>
        </w:rPr>
        <w:t>e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: </w:t>
      </w:r>
      <w:r w:rsidR="004E3BD3" w:rsidRPr="004E3BD3">
        <w:rPr>
          <w:b/>
          <w:sz w:val="24"/>
          <w:szCs w:val="24"/>
        </w:rPr>
        <w:t xml:space="preserve">„Мерки за енергийна ефективност на МСЖ в гр. Панагюрище, ул. „Георги Бенковски” №18, рег. № 392-20ПМ-005-289 на СФПИОЕЕ” във връзка с изпълнение на Национална програма за енергийна ефективност на </w:t>
      </w:r>
      <w:proofErr w:type="spellStart"/>
      <w:r w:rsidR="004E3BD3" w:rsidRPr="004E3BD3">
        <w:rPr>
          <w:b/>
          <w:sz w:val="24"/>
          <w:szCs w:val="24"/>
        </w:rPr>
        <w:t>многофамилни</w:t>
      </w:r>
      <w:proofErr w:type="spellEnd"/>
      <w:r w:rsidR="004E3BD3" w:rsidRPr="004E3BD3">
        <w:rPr>
          <w:b/>
          <w:sz w:val="24"/>
          <w:szCs w:val="24"/>
        </w:rPr>
        <w:t xml:space="preserve"> жилищни сгради</w:t>
      </w:r>
      <w:r w:rsidR="004E3BD3">
        <w:rPr>
          <w:b/>
          <w:sz w:val="24"/>
          <w:szCs w:val="24"/>
        </w:rPr>
        <w:t>.</w:t>
      </w:r>
    </w:p>
    <w:p w:rsidR="00220CC4" w:rsidRPr="004E3BD3" w:rsidRDefault="00220CC4" w:rsidP="004E3BD3">
      <w:pPr>
        <w:shd w:val="clear" w:color="auto" w:fill="FFFFFF"/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4E3BD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Обектът 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на обществената поръчка 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  <w:lang w:val="en-US"/>
        </w:rPr>
        <w:t>e</w:t>
      </w:r>
      <w:r w:rsidRPr="004E3BD3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: </w:t>
      </w:r>
      <w:r w:rsidRPr="004E3BD3">
        <w:rPr>
          <w:rFonts w:asciiTheme="majorHAnsi" w:hAnsiTheme="majorHAnsi" w:cs="Arial"/>
          <w:color w:val="000000"/>
          <w:sz w:val="24"/>
          <w:szCs w:val="24"/>
        </w:rPr>
        <w:t xml:space="preserve"> „строителство” по смисъла на чл.3, ал.1, т.1 от ЗОП</w:t>
      </w:r>
    </w:p>
    <w:p w:rsidR="00220CC4" w:rsidRPr="00DB01A8" w:rsidRDefault="00220CC4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220CC4" w:rsidRPr="00DB01A8" w:rsidRDefault="00220CC4" w:rsidP="00C51966">
      <w:pPr>
        <w:shd w:val="clear" w:color="auto" w:fill="FFFFFF"/>
        <w:spacing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Място за изпълнение на поръчката – </w:t>
      </w:r>
      <w:r w:rsidRPr="00DB01A8">
        <w:rPr>
          <w:rFonts w:asciiTheme="majorHAnsi" w:hAnsiTheme="majorHAnsi" w:cs="Arial"/>
          <w:color w:val="000000"/>
          <w:sz w:val="24"/>
          <w:szCs w:val="24"/>
        </w:rPr>
        <w:t>гр. Панагюрище на сграда с административен адрес:  с ул. Георги Бенковски № 18</w:t>
      </w:r>
    </w:p>
    <w:p w:rsidR="00220CC4" w:rsidRPr="00DB01A8" w:rsidRDefault="00220CC4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B01A8" w:rsidRDefault="00220CC4" w:rsidP="00C51966">
      <w:pPr>
        <w:widowControl/>
        <w:tabs>
          <w:tab w:val="left" w:pos="540"/>
          <w:tab w:val="left" w:pos="1134"/>
        </w:tabs>
        <w:suppressAutoHyphens/>
        <w:autoSpaceDE/>
        <w:autoSpaceDN/>
        <w:adjustRightInd/>
        <w:spacing w:before="80" w:after="8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Срок за изпълнение на поръчката: </w:t>
      </w:r>
      <w:r w:rsidRPr="00DB01A8">
        <w:rPr>
          <w:rFonts w:asciiTheme="majorHAnsi" w:hAnsiTheme="majorHAnsi" w:cs="Arial"/>
          <w:sz w:val="24"/>
          <w:szCs w:val="24"/>
        </w:rPr>
        <w:t>съгласно направеното Техническо предложение на участника, но не по-дълъг от 100 календарни дни.</w:t>
      </w:r>
    </w:p>
    <w:p w:rsidR="00220CC4" w:rsidRPr="00DB01A8" w:rsidRDefault="00220CC4" w:rsidP="00C51966">
      <w:pPr>
        <w:shd w:val="clear" w:color="auto" w:fill="FFFFFF"/>
        <w:spacing w:before="518" w:line="276" w:lineRule="auto"/>
        <w:ind w:firstLine="540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2"/>
          <w:sz w:val="24"/>
          <w:szCs w:val="24"/>
        </w:rPr>
        <w:t>I</w:t>
      </w:r>
      <w:proofErr w:type="spellStart"/>
      <w:r w:rsidRPr="00DB01A8">
        <w:rPr>
          <w:rFonts w:asciiTheme="majorHAnsi" w:hAnsiTheme="majorHAnsi" w:cs="Arial"/>
          <w:b/>
          <w:bCs/>
          <w:color w:val="000000"/>
          <w:spacing w:val="-2"/>
          <w:sz w:val="24"/>
          <w:szCs w:val="24"/>
          <w:lang w:val="en-US"/>
        </w:rPr>
        <w:t>I</w:t>
      </w:r>
      <w:r w:rsidRPr="00DB01A8">
        <w:rPr>
          <w:rFonts w:asciiTheme="majorHAnsi" w:hAnsiTheme="majorHAnsi" w:cs="Arial"/>
          <w:b/>
          <w:bCs/>
          <w:color w:val="000000"/>
          <w:spacing w:val="-2"/>
          <w:sz w:val="24"/>
          <w:szCs w:val="24"/>
        </w:rPr>
        <w:t>I</w:t>
      </w:r>
      <w:proofErr w:type="spellEnd"/>
      <w:r w:rsidRPr="00DB01A8">
        <w:rPr>
          <w:rFonts w:asciiTheme="majorHAnsi" w:hAnsiTheme="majorHAnsi" w:cs="Arial"/>
          <w:b/>
          <w:bCs/>
          <w:color w:val="000000"/>
          <w:spacing w:val="-2"/>
          <w:sz w:val="24"/>
          <w:szCs w:val="24"/>
        </w:rPr>
        <w:t>. ПРОГНОЗНА СТОЙНОСТ НА ОБЩЕСТВЕНАТА ПОРЪЧКА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7. Прогнозната стойност на обществената поръчка е в размер на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94 000.00 лева / деветдесет и четири хиляди/ без ДДС . </w:t>
      </w: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Участник, предложил цена, по-висока от допустимата, ще бъде отстранен от участие. </w:t>
      </w:r>
    </w:p>
    <w:p w:rsidR="00220CC4" w:rsidRPr="00DB01A8" w:rsidRDefault="00220CC4" w:rsidP="00C51966">
      <w:pPr>
        <w:shd w:val="clear" w:color="auto" w:fill="FFFFFF"/>
        <w:tabs>
          <w:tab w:val="left" w:pos="994"/>
        </w:tabs>
        <w:spacing w:before="115" w:line="276" w:lineRule="auto"/>
        <w:ind w:firstLine="540"/>
        <w:jc w:val="both"/>
        <w:rPr>
          <w:rFonts w:asciiTheme="majorHAnsi" w:hAnsiTheme="majorHAnsi" w:cs="Arial"/>
          <w:color w:val="000000"/>
          <w:spacing w:val="-1"/>
          <w:sz w:val="24"/>
          <w:szCs w:val="24"/>
          <w:lang w:val="en-US"/>
        </w:rPr>
      </w:pPr>
    </w:p>
    <w:p w:rsidR="00220CC4" w:rsidRPr="00DB01A8" w:rsidRDefault="00220CC4" w:rsidP="00C51966">
      <w:pPr>
        <w:shd w:val="clear" w:color="auto" w:fill="FFFFFF"/>
        <w:tabs>
          <w:tab w:val="left" w:pos="994"/>
        </w:tabs>
        <w:spacing w:before="115" w:line="276" w:lineRule="auto"/>
        <w:ind w:firstLine="540"/>
        <w:jc w:val="both"/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 xml:space="preserve">IV. 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>ФИНАНСИРАНЕ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ВЪЗЛОЖИТЕЛЯТ финансира дейностите със средства, представляващи безвъзмездна финансова помощ по Национална програма за енергийна ефективност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многофамилни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жилищни сгради, като максималният финансов ресурс по </w:t>
      </w:r>
      <w:r w:rsidRPr="00DB01A8">
        <w:rPr>
          <w:rFonts w:asciiTheme="majorHAnsi" w:hAnsiTheme="majorHAnsi" w:cs="Arial"/>
          <w:sz w:val="24"/>
          <w:szCs w:val="24"/>
        </w:rPr>
        <w:lastRenderedPageBreak/>
        <w:t xml:space="preserve">поръчката е в размер на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>94 000.00 /деветдесет и четири хиляди/ лева без ДДС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, 112 800.00 /сто и дванадесет хиляди и осемстотин/ лева с вкл. ДДС.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Договарянето, разплащането и финансирането на дейностите се извършват чрез ВЪЗЛОЖИТЕЛЯ от името и за сметка на сдружението на собствениците сградата посочена в предмета на поръчката.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Поради естеството на проекта и спецификата на дейностите възложителят (общината) е различно лице от собствениците на обекта на интервенция, като извършва възлагане на по силата на сключения договор. 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ПЛАЩАНИЯ: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ВЪЗЛОЖИТЕЛЯТ заплаща стойността на възложените работи по банков път, по посочена от ИЗПЪЛНИТЕЛЯ банкова сметка по следния начин: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 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Авансово</w:t>
      </w:r>
      <w:r w:rsidRPr="00DB01A8">
        <w:rPr>
          <w:rFonts w:asciiTheme="majorHAnsi" w:hAnsiTheme="majorHAnsi" w:cs="Arial"/>
          <w:sz w:val="24"/>
          <w:szCs w:val="24"/>
        </w:rPr>
        <w:t xml:space="preserve"> плащане в размер до 35%  /тридесет и пет процента/  от сумата за изпълнение на строителството, без стойността на допълнително възникнали непредвидени разходи.  Изплащането се извършва  в срок до 30 календарни дни след  представяне на фактура и гаранция за цялата стойност на авансовото плащане. Гаранцията се освобождава поетапно и пропорционално след приспадане на съответната част на аванса от междинните плащания. Авансовото плащане се приспада пропорционално от всяко  междинно плащане. 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- </w:t>
      </w:r>
      <w:r w:rsidRPr="00DB01A8">
        <w:rPr>
          <w:rFonts w:asciiTheme="majorHAnsi" w:hAnsiTheme="majorHAnsi"/>
          <w:b/>
          <w:bCs/>
          <w:sz w:val="24"/>
          <w:szCs w:val="24"/>
        </w:rPr>
        <w:t>Междинни</w:t>
      </w:r>
      <w:r w:rsidRPr="00DB01A8">
        <w:rPr>
          <w:rFonts w:asciiTheme="majorHAnsi" w:hAnsiTheme="majorHAnsi"/>
          <w:sz w:val="24"/>
          <w:szCs w:val="24"/>
        </w:rPr>
        <w:t xml:space="preserve"> плащания по настоящия договор се извършват след доказване на реално извършени видове работи в обем не по-малък от 50% от предвидените в проекта. </w:t>
      </w:r>
      <w:r w:rsidRPr="00DB01A8">
        <w:rPr>
          <w:rFonts w:asciiTheme="majorHAnsi" w:hAnsiTheme="majorHAnsi" w:cs="Arial"/>
          <w:sz w:val="24"/>
          <w:szCs w:val="24"/>
        </w:rPr>
        <w:t xml:space="preserve">Изплащането се извършва в срок до 30 календарни дни след </w:t>
      </w:r>
      <w:r w:rsidRPr="00DB01A8">
        <w:rPr>
          <w:rFonts w:asciiTheme="majorHAnsi" w:hAnsiTheme="majorHAnsi"/>
          <w:sz w:val="24"/>
          <w:szCs w:val="24"/>
        </w:rPr>
        <w:t xml:space="preserve">подписване и представяне на протокол – </w:t>
      </w:r>
      <w:proofErr w:type="spellStart"/>
      <w:r w:rsidRPr="00DB01A8">
        <w:rPr>
          <w:rFonts w:asciiTheme="majorHAnsi" w:hAnsiTheme="majorHAnsi"/>
          <w:sz w:val="24"/>
          <w:szCs w:val="24"/>
        </w:rPr>
        <w:t>обр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. №19 за действително извършени и подлежащи на разплащане видове работи  в обем не по-малък от 50% от предвидените в проекта и </w:t>
      </w:r>
      <w:r w:rsidRPr="00DB01A8">
        <w:rPr>
          <w:rFonts w:asciiTheme="majorHAnsi" w:hAnsiTheme="majorHAnsi" w:cs="Arial"/>
          <w:sz w:val="24"/>
          <w:szCs w:val="24"/>
        </w:rPr>
        <w:t>представяне на фактура;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 </w:t>
      </w:r>
      <w:r w:rsidRPr="00DB01A8">
        <w:rPr>
          <w:rFonts w:asciiTheme="majorHAnsi" w:hAnsiTheme="majorHAnsi"/>
          <w:b/>
          <w:bCs/>
          <w:sz w:val="24"/>
          <w:szCs w:val="24"/>
        </w:rPr>
        <w:t>Окончателното</w:t>
      </w:r>
      <w:r w:rsidRPr="00DB01A8">
        <w:rPr>
          <w:rFonts w:asciiTheme="majorHAnsi" w:hAnsiTheme="majorHAnsi"/>
          <w:sz w:val="24"/>
          <w:szCs w:val="24"/>
        </w:rPr>
        <w:t xml:space="preserve"> плащане, което не може да бъде по–малко от 10 % (десет на сто) от общата стойността на СМР, предмет на договора, </w:t>
      </w:r>
      <w:r w:rsidRPr="00DB01A8">
        <w:rPr>
          <w:rFonts w:asciiTheme="majorHAnsi" w:hAnsiTheme="majorHAnsi" w:cs="Arial"/>
          <w:sz w:val="24"/>
          <w:szCs w:val="24"/>
        </w:rPr>
        <w:t xml:space="preserve">ще се извърши до 30 календарни дни след подписване и представяне на Удостоверение за въвеждане в експлоатация на сградата, екзекутивна документация, протокол –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обр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. № 19 за действително извършени и подлежащи на заплащане на окончателни видове СМР по одобрени цени, подписани от страните, удостоверение за въвеждане в експлоатация на обекта и оригинална фактура за окончателната стойност на дължимата сума и съгласно клаузите договора. От окончателното плащане се приспадат всички суми за неизвършени СМР и начислени неустойки, в случай че има такива.</w:t>
      </w:r>
    </w:p>
    <w:p w:rsidR="00220CC4" w:rsidRPr="00DB01A8" w:rsidRDefault="00220CC4" w:rsidP="00C51966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(Непредвидените разходи следва да са в размер на максимум 10%  от стойността на СМР)</w:t>
      </w:r>
      <w:r w:rsidRPr="00DB01A8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i/>
          <w:iCs/>
          <w:sz w:val="24"/>
          <w:szCs w:val="24"/>
          <w:lang w:val="en-US"/>
        </w:rPr>
      </w:pPr>
      <w:r w:rsidRPr="00DB01A8">
        <w:rPr>
          <w:rFonts w:asciiTheme="majorHAnsi" w:hAnsiTheme="majorHAnsi" w:cs="Arial"/>
          <w:i/>
          <w:iCs/>
          <w:sz w:val="24"/>
          <w:szCs w:val="24"/>
          <w:lang w:val="en-US"/>
        </w:rPr>
        <w:t>*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 xml:space="preserve">Непредвидени разходи за строителни и монтажни работи са разходите, свързани с увеличаване на заложени количества строителни и монтажни работи и/или добавяне на нови количества или видове строителни и монтажни работи, които към момента на разработване и одобряване на технически инвестиционен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lastRenderedPageBreak/>
        <w:t>проект обективно не са могли да бъдат предвидени, но при изпълнение на дейностите са обективно необходими за въвеждане на обекта в експлоатация. Разходите, които биха могли да бъдат верифицирани като непредвидени, следва да отговарят на условията за допустимост на разходите по програмата.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 Елементи на ценообразуване </w:t>
      </w:r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за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видовете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СМР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са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както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следва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>: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1. Средна часова ставка…. лв./час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2. Допълнителни разходи  върху труд</w:t>
      </w:r>
      <w:r w:rsidRPr="00DB01A8">
        <w:rPr>
          <w:rFonts w:asciiTheme="majorHAnsi" w:hAnsiTheme="majorHAnsi" w:cs="Arial"/>
          <w:sz w:val="24"/>
          <w:szCs w:val="24"/>
        </w:rPr>
        <w:tab/>
        <w:t>…….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3. Допълнителни  разходи върху механизация…….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4.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Доставно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-складови разходи</w:t>
      </w:r>
      <w:r w:rsidRPr="00DB01A8">
        <w:rPr>
          <w:rFonts w:asciiTheme="majorHAnsi" w:hAnsiTheme="majorHAnsi" w:cs="Arial"/>
          <w:sz w:val="24"/>
          <w:szCs w:val="24"/>
          <w:lang w:val="en-US"/>
        </w:rPr>
        <w:t>….</w:t>
      </w:r>
      <w:r w:rsidRPr="00DB01A8">
        <w:rPr>
          <w:rFonts w:asciiTheme="majorHAnsi" w:hAnsiTheme="majorHAnsi" w:cs="Arial"/>
          <w:sz w:val="24"/>
          <w:szCs w:val="24"/>
        </w:rPr>
        <w:t xml:space="preserve">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5. Печалба……. %</w:t>
      </w:r>
    </w:p>
    <w:p w:rsidR="00220CC4" w:rsidRPr="00DB01A8" w:rsidRDefault="00220CC4" w:rsidP="00C51966">
      <w:pPr>
        <w:tabs>
          <w:tab w:val="left" w:pos="993"/>
          <w:tab w:val="left" w:pos="1635"/>
        </w:tabs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C51966">
      <w:pPr>
        <w:tabs>
          <w:tab w:val="left" w:pos="2745"/>
        </w:tabs>
        <w:spacing w:line="276" w:lineRule="auto"/>
        <w:ind w:firstLine="540"/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. КРАТКО ОПИСАНИЕ </w:t>
      </w:r>
    </w:p>
    <w:p w:rsidR="00220CC4" w:rsidRPr="00DB01A8" w:rsidRDefault="00220CC4" w:rsidP="00C51966">
      <w:pPr>
        <w:tabs>
          <w:tab w:val="left" w:pos="2745"/>
        </w:tabs>
        <w:spacing w:line="276" w:lineRule="auto"/>
        <w:ind w:firstLine="540"/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</w:pPr>
    </w:p>
    <w:p w:rsidR="00220CC4" w:rsidRPr="00DB01A8" w:rsidRDefault="00220CC4" w:rsidP="00C51966">
      <w:pPr>
        <w:pStyle w:val="FR1"/>
        <w:spacing w:line="276" w:lineRule="auto"/>
        <w:ind w:left="0" w:firstLine="540"/>
        <w:jc w:val="both"/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</w:pPr>
      <w:r w:rsidRPr="00DB01A8">
        <w:rPr>
          <w:rFonts w:asciiTheme="majorHAnsi" w:hAnsiTheme="majorHAnsi"/>
          <w:i/>
          <w:iCs/>
          <w:color w:val="000000"/>
          <w:kern w:val="28"/>
          <w:sz w:val="24"/>
          <w:szCs w:val="24"/>
          <w:lang w:val="ru-RU" w:eastAsia="bg-BG"/>
        </w:rPr>
        <w:t>Местоположение:</w:t>
      </w:r>
      <w:r w:rsidRPr="00DB01A8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DB01A8"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  <w:t xml:space="preserve">УПИ VI, кв.114, ПИ 55302.501.2625.3, гр. </w:t>
      </w:r>
      <w:proofErr w:type="spellStart"/>
      <w:r w:rsidRPr="00DB01A8"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  <w:t>Панагюрище</w:t>
      </w:r>
      <w:proofErr w:type="spellEnd"/>
      <w:r w:rsidRPr="00DB01A8"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  <w:t xml:space="preserve">, ул. Георги </w:t>
      </w:r>
      <w:proofErr w:type="spellStart"/>
      <w:r w:rsidRPr="00DB01A8"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  <w:t>Бенковски</w:t>
      </w:r>
      <w:proofErr w:type="spellEnd"/>
      <w:r w:rsidRPr="00DB01A8">
        <w:rPr>
          <w:rFonts w:asciiTheme="majorHAnsi" w:hAnsiTheme="majorHAnsi"/>
          <w:b w:val="0"/>
          <w:bCs w:val="0"/>
          <w:color w:val="000000"/>
          <w:kern w:val="28"/>
          <w:sz w:val="24"/>
          <w:szCs w:val="24"/>
          <w:lang w:val="ru-RU" w:eastAsia="bg-BG"/>
        </w:rPr>
        <w:t xml:space="preserve"> № 18</w:t>
      </w:r>
    </w:p>
    <w:p w:rsidR="00220CC4" w:rsidRPr="00DB01A8" w:rsidRDefault="00220CC4" w:rsidP="009101EB">
      <w:pPr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За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сградата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има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изготвен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инвестиционен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проект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във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фаза «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Работен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»,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съгласно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Споразумението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за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финансова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DB01A8">
        <w:rPr>
          <w:rFonts w:asciiTheme="majorHAnsi" w:hAnsiTheme="majorHAnsi" w:cs="Arial"/>
          <w:sz w:val="24"/>
          <w:szCs w:val="24"/>
          <w:lang w:val="ru-RU"/>
        </w:rPr>
        <w:t>помощ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и</w:t>
      </w:r>
      <w:proofErr w:type="gram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изпълнение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на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обновяване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за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енергийна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ефективност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по проект BG161PO001-1.2.01-0001 „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Енергийно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обновяване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на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българските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домове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” по Оперативна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програма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„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Регионално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развитие” 2007 – 2013. </w:t>
      </w:r>
      <w:r w:rsidRPr="00DB01A8">
        <w:rPr>
          <w:rFonts w:asciiTheme="majorHAnsi" w:hAnsiTheme="majorHAnsi" w:cs="Arial"/>
          <w:sz w:val="24"/>
          <w:szCs w:val="24"/>
        </w:rPr>
        <w:t xml:space="preserve">Съгласно ПМС 23/04.02.2016 г. в рамките на НАЦИОНАЛНАТА ПРОГРАМА ЗА ЕНЕРГИЙНА ЕФЕКТИВНОСТ НА МНОГОФАМИЛНИ ЖИЛИЩНИ СГРАДИ се предвижда финансиране през 2016 г.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многофамилни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жилищни сгради, които са одобрени по проект BG161PO001-1.2.01-0001 „Енергийно обновяване на българските домове“ по Оперативна програма „Регионално развитие“ 2007 – 2013, но за които към 31.12.2015 г. не са извършени строителни и монтажни работи. 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color w:val="00000A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Описание на сградата: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color w:val="00000A"/>
          <w:sz w:val="24"/>
          <w:szCs w:val="24"/>
        </w:rPr>
      </w:pPr>
      <w:r w:rsidRPr="00DB01A8">
        <w:rPr>
          <w:rFonts w:asciiTheme="majorHAnsi" w:hAnsiTheme="majorHAnsi" w:cs="Arial"/>
          <w:color w:val="00000A"/>
          <w:sz w:val="24"/>
          <w:szCs w:val="24"/>
        </w:rPr>
        <w:t xml:space="preserve">Сграда е </w:t>
      </w:r>
      <w:r w:rsidRPr="00DB01A8">
        <w:rPr>
          <w:rFonts w:asciiTheme="majorHAnsi" w:hAnsiTheme="majorHAnsi" w:cs="Arial"/>
          <w:b/>
          <w:bCs/>
          <w:color w:val="00000A"/>
          <w:sz w:val="24"/>
          <w:szCs w:val="24"/>
        </w:rPr>
        <w:t>четвърта категория</w:t>
      </w:r>
      <w:r w:rsidRPr="00DB01A8">
        <w:rPr>
          <w:rFonts w:asciiTheme="majorHAnsi" w:hAnsiTheme="majorHAnsi" w:cs="Arial"/>
          <w:color w:val="00000A"/>
          <w:sz w:val="24"/>
          <w:szCs w:val="24"/>
        </w:rPr>
        <w:t xml:space="preserve"> (височина от 10 до 15 метра) , съгласно чл.8, ал.2, точка 1 от “Наредба № 1 от 2003 г. за номенклатурата на видовете строежи”.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color w:val="00000A"/>
          <w:sz w:val="24"/>
          <w:szCs w:val="24"/>
        </w:rPr>
        <w:t>Същата представлява пет етажна сграда със сутерен. Предназначението и е за жилищни нужди. Първи етаж е зает от офиси и фитнес център. Южната и северната фасади са калкани.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Конструкция: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Сградата е монолитна и скелетна, проектирана със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стоманобетонова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плочо-гредова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конструкция през 1996г. Състои се от четири надземни нива,сутерен и покривна плоча.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Главната носеща конструкция се състои от следните основни конструктивни елементи разделени в групи съгласно технологията на изпълнение: Хоризонтални елементи – плочи и греди и Вертикални елементи – колони 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стоманобетонови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стени. Върху покривната плоча е предвидена лежаща дървена конструкция, с покритие от керамични керемиди. Конструкцията се състои от дървени греди ребра </w:t>
      </w:r>
      <w:r w:rsidRPr="00DB01A8">
        <w:rPr>
          <w:rFonts w:asciiTheme="majorHAnsi" w:hAnsiTheme="majorHAnsi" w:cs="Arial"/>
          <w:sz w:val="24"/>
          <w:szCs w:val="24"/>
        </w:rPr>
        <w:lastRenderedPageBreak/>
        <w:t xml:space="preserve">заковани директно за плочата. Върху ребрата е положена дъсчена обшивка.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Сутерен</w:t>
      </w:r>
      <w:r w:rsidRPr="00DB01A8">
        <w:rPr>
          <w:rFonts w:asciiTheme="majorHAnsi" w:hAnsiTheme="majorHAnsi" w:cs="Arial"/>
          <w:b/>
          <w:bCs/>
          <w:sz w:val="24"/>
          <w:szCs w:val="24"/>
          <w:u w:val="single"/>
          <w:lang w:val="ru-RU"/>
        </w:rPr>
        <w:t>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Застроена </w:t>
      </w:r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площ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–</w:t>
      </w:r>
      <w:r w:rsidRPr="00DB01A8">
        <w:rPr>
          <w:rFonts w:asciiTheme="majorHAnsi" w:hAnsiTheme="majorHAnsi" w:cs="Arial"/>
          <w:sz w:val="24"/>
          <w:szCs w:val="24"/>
        </w:rPr>
        <w:t xml:space="preserve"> 288,4</w:t>
      </w:r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кв.м. и </w:t>
      </w:r>
      <w:proofErr w:type="gramStart"/>
      <w:r w:rsidRPr="00DB01A8">
        <w:rPr>
          <w:rFonts w:asciiTheme="majorHAnsi" w:hAnsiTheme="majorHAnsi" w:cs="Arial"/>
          <w:sz w:val="24"/>
          <w:szCs w:val="24"/>
          <w:lang w:val="ru-RU"/>
        </w:rPr>
        <w:t>светла</w:t>
      </w:r>
      <w:proofErr w:type="gram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  <w:lang w:val="ru-RU"/>
        </w:rPr>
        <w:t>височина</w:t>
      </w:r>
      <w:proofErr w:type="spellEnd"/>
      <w:r w:rsidRPr="00DB01A8">
        <w:rPr>
          <w:rFonts w:asciiTheme="majorHAnsi" w:hAnsiTheme="majorHAnsi" w:cs="Arial"/>
          <w:sz w:val="24"/>
          <w:szCs w:val="24"/>
          <w:lang w:val="ru-RU"/>
        </w:rPr>
        <w:t xml:space="preserve"> 2,</w:t>
      </w:r>
      <w:r w:rsidRPr="00DB01A8">
        <w:rPr>
          <w:rFonts w:asciiTheme="majorHAnsi" w:hAnsiTheme="majorHAnsi" w:cs="Arial"/>
          <w:sz w:val="24"/>
          <w:szCs w:val="24"/>
        </w:rPr>
        <w:t>50м.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На това ниво са разположени 8 избени помещения към апартаментите.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Подът е бетонова настилка; стените и тавана са завършени с мазилка.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Първи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Застроена площ от 288,4кв.м. и светла височина 3,30м. в помещенията. Част от партера е отдръпната навътре, като следващото ниво е подпряно с колони. Така към ул. „Георги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Бенкоски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“ се оформя колонада. Там височината е 2,90м.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Първият етаж се състои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-Входно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предверие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-Техническо помещение;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-Офиси.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офисите: под – мрамор,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гранитогрес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алуминиева.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Втори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292кв.м.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-Два апартамента, разположени симетрично спрямо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стълбищната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клетка, с изложение изток-запад. Апартаментът, разположен в южната половина на сградата се състои се от коридор, кухня, дневна, две спални, баня с тоалетна, тоалетна, мокро помещение и две тераси – източна и западна, и двете остъклени. Апартаментът, разположен в северната половина на сградата се състои се от коридор, кухня, дневна, две спални, две бани с тоалетна, тоалетна, мокро помещение и две западни тераси, едната остъклена. Към този апартамент има още една тераса, която се явява покрив на долно ниво.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ламинат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Трети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261,6кв.м.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lastRenderedPageBreak/>
        <w:t xml:space="preserve">-Стълбище с тераса към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стълбищната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клетка;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-Два апартамента, разположени симетрично спрямо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стълбищната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клетка, с изложение изток-запад. Апартаментът, разположен в южната половина на сградата се състои се от коридор, кухня, дневна, две спални, баня с тоалетна, тоалетна, мокро помещение и две тераси – източна и западна, и двете остъклени. Апартаментът, разположен в северната половина на сградата се състои се от коридор, кухня, дневна, две спални, две бани с тоалетна, тоалетна, мокро помещение и две западни тераси, остъклени.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ламинат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Четвърти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261кв.м.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-Стълбище с тераса към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стълбиюната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клетка;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-Три апартамента, разположени симетрично спрямо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стълбищната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клетка. Апартаментът, разположен в южната половина на сградата се състои се от коридор, кухня с трапезария, дневна, две спални, две бани с тоалетна, и две тераси – източна и западна, и двете остъклени. Фасадите му са допълнително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и топлоизолацията отвън е покрита с обшивка. Апартаментът, който се намира в по-ниската част на сградата е разделен на два по-малки. Единият е с изцяло западно изложение и се състои от коридор, кухня с дневна, спалня, баня и остъклена тераса. Другият е с изложение изток-запад и се състои от коридор, кухня с дневна, към която има остъклена западна тераса, баня и две спални.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ламинат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Пети етаж: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Застроена площ от 193кв.м. и светла височина 2,67м. Състои се от: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-Стълбище;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-Един апартамент, разположен в южната половина на сградата, който се състои се от коридор, кухня с трапезария, дневна, две спални, баня с тоалетна, тоалетна, мокро помещение и две тераси – източна и западна, и двете остъклени;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-Таванско помещение.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Довършителни работи: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жилищни помещения: под – паркет/дюшеме,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ламинат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, теракотени плочки; стени – латекс; таван – латекс;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lastRenderedPageBreak/>
        <w:t>За баня и тоалетна: под – теракота; стени – фаянс;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За стълбище - под – мозайка; стени – латекс; таван – латекс;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Дограма – дървена, PVC.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</w:rPr>
        <w:t>Тавански помещения – стените – мазилка, под – циментова замазка, таван – мазилка. Стълбище – мозайка на пода, стени и таван – мазилка с финиш латекс.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Покрив: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tab/>
        <w:t xml:space="preserve">Покривът е на две нива,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двускатен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, с наклон от 37% за отводняване. Покритието е от марсилски керемиди. Отводняването е външно – с водосточни тръби по фасадата.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Фасада: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Външните стени са изпълнени с тухли. Фасадата е завършена с външна мазилка, а партерният етаж на сградата към ул. „Георги Бенковски“ е оформен декоративно с мраморни плочи. Фасадното остъкляване се състои от дървена, пластмасова и алуминиева дограма. Интересно при фасадното оформяне е декоративното остъкляване на терасите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стълбищната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клетка, което започва от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полунивото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между 2ри и 3ти етажи и завършва до нивото на пети етаж.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  <w:u w:val="single"/>
        </w:rPr>
        <w:t>Показатели на сградата: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Застроена площ : 288,4 кв. 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РЗП: 1296 кв. 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Застроен обем: 3405 куб. м.</w:t>
      </w:r>
    </w:p>
    <w:p w:rsidR="00220CC4" w:rsidRPr="00DB01A8" w:rsidRDefault="00220CC4" w:rsidP="009101EB">
      <w:pPr>
        <w:spacing w:before="29" w:after="29"/>
        <w:ind w:firstLine="567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line="276" w:lineRule="auto"/>
        <w:ind w:firstLine="540"/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С проекта се дават конкретните проектни решения за реализация на предвидените с енергийното обследване ЕСМ и съпътстващите ги СМР, както следва: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proofErr w:type="spellStart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</w:t>
      </w:r>
      <w:proofErr w:type="spellEnd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мярка 1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Подмяна на съществуваща стара дограма 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Част от дограмата в жилищата и стопанските обекти „магазини“ е подменена с рамки от PVC с двоен стъклопакет и AL. В апартаментите, старите неподменени прозорци и врати са дървени двукатни и слепени.  Прозорците в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стълбищната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клетка са с дървена рамка и единично остъкляване, с висок коефициент на топлопреминаване.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Дограмата на усвоените в отопляемото пространство тераси е различен тип – както с рамка от PVC профили с двоен стъклопакет, така и с дървена рамка с единично остъкляване.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Дограмата на сутеренния етаж е дървена, единично остъклена. Входната врата на сградата е нова, двоен стъклопакет. Покривните табакери са със дървени рамки, единично остъклени.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lastRenderedPageBreak/>
        <w:t>Съществуващата не подменена дограма е стара с деформирани рамки в резултат на дългия период на експлоатация. Уплътняващият маджун между рамката и остъкляването е напукан и на места паднал. Това е причина за увеличаване на инфилтрацията и загуби на енергия през остъклените части.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Мярката включва подмяна на старата дограма на жилищните етажи  с PVC дограма,  петкамерна, с двоен стъклопакет, с едно ниско емисионно външно стъкло, с коефициент на топлопреминаване  ≤ 1,70 W/m2К. 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Предвижда се подмяна на покривните табакери с дограма,  петкамерна, с двоен стъклопакет, с коефициент на топлопреминаване  ≤ 2.00 W/m2К. 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Вътрешно обръщане на дограма по апартаменти (вкл. гипсова шпакловка, ъгъл с мрежа и др.)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Доставка и монтаж на външен алуминиев подпрозоречен перваз ширина до 25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Вътрешно обръщане на дограма (вкл.шпакловка, ъгъл с мрежа и т.н.)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Доставка и монтаж на вътрешен PVC перваз ширина до 25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Изкърпване, грундиране и шпакловане по стени и тавани - стълбище 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площадки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Демонтаж на декоративна дървена решетка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Боядисване на стени и тавани с цветен латекс, двукратно, вкл. грунд - стълбище 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стълбищни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площадки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Доставка и монтаж на плътна стоманена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самозатваряща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се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пожарозащитна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врата с размери 90/200 см. и клас EI-90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DB01A8">
        <w:rPr>
          <w:rFonts w:asciiTheme="majorHAnsi" w:hAnsiTheme="majorHAnsi" w:cs="Arial"/>
          <w:sz w:val="24"/>
          <w:szCs w:val="24"/>
        </w:rPr>
        <w:t>Дозиждане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за оформяне на страници за дограма от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газобетон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25 см вкл. шпакловане.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Доставка и монтаж АL дограма с коефициент на топлопреминаване ≤2,00 W/m2K – декоративна решетка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proofErr w:type="spellStart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</w:t>
      </w:r>
      <w:proofErr w:type="spellEnd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мярка 2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Топлинно изолиране на външни стени и задължителни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Външните фасадни стени на сградата не са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. Обобщеният им коефициентът на топлопреминаване U= 1,65 W/m2K е много по-голям от нормативния за 2015г. - U= 0,28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Мярката включва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от външната страна  на фасадните стени (без първия етаж – офиси и фитнес, облицовани с мраморни плочи)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експандиран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пенополистирол (EPS) с дебелина 8 cm и коефициент на топлопроводност λ≤0,035 </w:t>
      </w:r>
      <w:r w:rsidRPr="00DB01A8">
        <w:rPr>
          <w:rFonts w:asciiTheme="majorHAnsi" w:hAnsiTheme="majorHAnsi" w:cs="Arial"/>
          <w:sz w:val="24"/>
          <w:szCs w:val="24"/>
        </w:rPr>
        <w:lastRenderedPageBreak/>
        <w:t>W/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mK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(вкл. лепило,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арм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. мрежа, ъглови профили,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крепежни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елементи, грундиране и полагане на цветна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екстериорна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мазила), както 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топлоизолационна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система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пo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страници на прозорци, тип ЕPS, δ=2 cm, ширина 20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сm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коеф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. на топлопроводност λ≤0,035 W/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mK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(вкл. лепило,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арм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. мрежа, шпакловка, ъглови профили,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крепежни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елементи, грундиране и полагане на цветна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екстериорна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мазилка).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Общата площ на стените ограждащи отопляемото пространство подлежащи на топлинно изолиране е 342,11m2. Предвижда се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на странични бордове на тераси и орнаменти на сградата и  вертикалния борд на таваните с обща площ 26,22m2.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Обобщеният коефициент на топлопреминаване на стените намалява от  U=1,65W/m2K  на U= 0,43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Доставка, монтаж и демонтаж на фасадно скеле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Демонтаж и монтаж и изместване на </w:t>
      </w:r>
      <w:proofErr w:type="spellStart"/>
      <w:r w:rsidRPr="00DB01A8">
        <w:rPr>
          <w:rFonts w:asciiTheme="majorHAnsi" w:hAnsiTheme="majorHAnsi"/>
          <w:sz w:val="24"/>
          <w:szCs w:val="24"/>
        </w:rPr>
        <w:t>климатици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преди и след топлинно изолиране на външни стени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Циментова шпакловка, вкл.</w:t>
      </w:r>
      <w:proofErr w:type="spellStart"/>
      <w:r w:rsidRPr="00DB01A8">
        <w:rPr>
          <w:rFonts w:asciiTheme="majorHAnsi" w:hAnsiTheme="majorHAnsi"/>
          <w:sz w:val="24"/>
          <w:szCs w:val="24"/>
        </w:rPr>
        <w:t>арм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. мрежа, грундиране и полагане на цветна силикатна </w:t>
      </w:r>
      <w:proofErr w:type="spellStart"/>
      <w:r w:rsidRPr="00DB01A8">
        <w:rPr>
          <w:rFonts w:asciiTheme="majorHAnsi" w:hAnsiTheme="majorHAnsi"/>
          <w:sz w:val="24"/>
          <w:szCs w:val="24"/>
        </w:rPr>
        <w:t>екстериорна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мазилка по вътрешната част на бордове на открити балкони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на профил от ламарина с полиестерно покритие при </w:t>
      </w:r>
      <w:proofErr w:type="spellStart"/>
      <w:r w:rsidRPr="00DB01A8">
        <w:rPr>
          <w:rFonts w:asciiTheme="majorHAnsi" w:hAnsiTheme="majorHAnsi"/>
          <w:sz w:val="24"/>
          <w:szCs w:val="24"/>
        </w:rPr>
        <w:t>хлътвания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под прозорци по детайл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Почистване, натоварване на камион и извозване на строителни отпадъци на 10 </w:t>
      </w:r>
      <w:proofErr w:type="spellStart"/>
      <w:r w:rsidRPr="00DB01A8">
        <w:rPr>
          <w:rFonts w:asciiTheme="majorHAnsi" w:hAnsiTheme="majorHAnsi"/>
          <w:sz w:val="24"/>
          <w:szCs w:val="24"/>
        </w:rPr>
        <w:t>kм</w:t>
      </w:r>
      <w:proofErr w:type="spellEnd"/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Демонтаж на съществуваща топлоизолация покрита със </w:t>
      </w:r>
      <w:proofErr w:type="spellStart"/>
      <w:r w:rsidRPr="00DB01A8">
        <w:rPr>
          <w:rFonts w:asciiTheme="majorHAnsi" w:hAnsiTheme="majorHAnsi"/>
          <w:sz w:val="24"/>
          <w:szCs w:val="24"/>
        </w:rPr>
        <w:t>сайдинг</w:t>
      </w:r>
      <w:proofErr w:type="spellEnd"/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на външен перваз от врачански камък с ширина до 30 см за парапети на балкони, с </w:t>
      </w:r>
      <w:proofErr w:type="spellStart"/>
      <w:r w:rsidRPr="00DB01A8">
        <w:rPr>
          <w:rFonts w:asciiTheme="majorHAnsi" w:hAnsiTheme="majorHAnsi"/>
          <w:sz w:val="24"/>
          <w:szCs w:val="24"/>
        </w:rPr>
        <w:t>фаски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DB01A8">
        <w:rPr>
          <w:rFonts w:asciiTheme="majorHAnsi" w:hAnsiTheme="majorHAnsi"/>
          <w:sz w:val="24"/>
          <w:szCs w:val="24"/>
        </w:rPr>
        <w:t>водокапи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от двете страни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на </w:t>
      </w:r>
      <w:proofErr w:type="spellStart"/>
      <w:r w:rsidRPr="00DB01A8">
        <w:rPr>
          <w:rFonts w:asciiTheme="majorHAnsi" w:hAnsiTheme="majorHAnsi"/>
          <w:sz w:val="24"/>
          <w:szCs w:val="24"/>
        </w:rPr>
        <w:t>тополоизолационна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система тип XPS, д= 3 см и с </w:t>
      </w:r>
      <w:proofErr w:type="spellStart"/>
      <w:r w:rsidRPr="00DB01A8">
        <w:rPr>
          <w:rFonts w:asciiTheme="majorHAnsi" w:hAnsiTheme="majorHAnsi"/>
          <w:sz w:val="24"/>
          <w:szCs w:val="24"/>
        </w:rPr>
        <w:t>коеф</w:t>
      </w:r>
      <w:proofErr w:type="spellEnd"/>
      <w:r w:rsidRPr="00DB01A8">
        <w:rPr>
          <w:rFonts w:asciiTheme="majorHAnsi" w:hAnsiTheme="majorHAnsi"/>
          <w:sz w:val="24"/>
          <w:szCs w:val="24"/>
        </w:rPr>
        <w:t>. на топлопроводност л≤0,035 W/</w:t>
      </w:r>
      <w:proofErr w:type="spellStart"/>
      <w:r w:rsidRPr="00DB01A8">
        <w:rPr>
          <w:rFonts w:asciiTheme="majorHAnsi" w:hAnsiTheme="majorHAnsi"/>
          <w:sz w:val="24"/>
          <w:szCs w:val="24"/>
        </w:rPr>
        <w:t>mK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(вкл. лепило, </w:t>
      </w:r>
      <w:proofErr w:type="spellStart"/>
      <w:r w:rsidRPr="00DB01A8">
        <w:rPr>
          <w:rFonts w:asciiTheme="majorHAnsi" w:hAnsiTheme="majorHAnsi"/>
          <w:sz w:val="24"/>
          <w:szCs w:val="24"/>
        </w:rPr>
        <w:t>арм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. мрежа, </w:t>
      </w:r>
      <w:proofErr w:type="spellStart"/>
      <w:r w:rsidRPr="00DB01A8">
        <w:rPr>
          <w:rFonts w:asciiTheme="majorHAnsi" w:hAnsiTheme="majorHAnsi"/>
          <w:sz w:val="24"/>
          <w:szCs w:val="24"/>
        </w:rPr>
        <w:t>цим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. шпакловка, ъглови профили, </w:t>
      </w:r>
      <w:proofErr w:type="spellStart"/>
      <w:r w:rsidRPr="00DB01A8">
        <w:rPr>
          <w:rFonts w:asciiTheme="majorHAnsi" w:hAnsiTheme="majorHAnsi"/>
          <w:sz w:val="24"/>
          <w:szCs w:val="24"/>
        </w:rPr>
        <w:t>водокапи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DB01A8">
        <w:rPr>
          <w:rFonts w:asciiTheme="majorHAnsi" w:hAnsiTheme="majorHAnsi"/>
          <w:sz w:val="24"/>
          <w:szCs w:val="24"/>
        </w:rPr>
        <w:t>крепежни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елементи) при козирка- дъно, чело и отгоре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Надграждане на балконски парапети - стоманени стойки, с антикорозионен грунд 25/40/2.5 мм монтирани челно за борда на парапета (чрез планки и </w:t>
      </w:r>
      <w:proofErr w:type="spellStart"/>
      <w:r w:rsidRPr="00DB01A8">
        <w:rPr>
          <w:rFonts w:asciiTheme="majorHAnsi" w:hAnsiTheme="majorHAnsi"/>
          <w:sz w:val="24"/>
          <w:szCs w:val="24"/>
        </w:rPr>
        <w:t>анкерни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болтове)(през 75 см), трикратно боядисани и импрегнирана и лакирана дървена ръкохватка 10/3 см до h=105см от к.г.п. (по </w:t>
      </w:r>
      <w:proofErr w:type="spellStart"/>
      <w:r w:rsidRPr="00DB01A8">
        <w:rPr>
          <w:rFonts w:asciiTheme="majorHAnsi" w:hAnsiTheme="majorHAnsi"/>
          <w:sz w:val="24"/>
          <w:szCs w:val="24"/>
        </w:rPr>
        <w:t>детай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подобен на </w:t>
      </w:r>
      <w:proofErr w:type="spellStart"/>
      <w:r w:rsidRPr="00DB01A8">
        <w:rPr>
          <w:rFonts w:asciiTheme="majorHAnsi" w:hAnsiTheme="majorHAnsi"/>
          <w:sz w:val="24"/>
          <w:szCs w:val="24"/>
        </w:rPr>
        <w:t>съществуващя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от съседния вход)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Надграждане на балконски парапети - стоманени </w:t>
      </w:r>
      <w:proofErr w:type="spellStart"/>
      <w:r w:rsidRPr="00DB01A8">
        <w:rPr>
          <w:rFonts w:asciiTheme="majorHAnsi" w:hAnsiTheme="majorHAnsi"/>
          <w:sz w:val="24"/>
          <w:szCs w:val="24"/>
        </w:rPr>
        <w:t>ръкохватски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ф 6см и стойки ф 3 см, с антикорозионен грунд, трикратно боядисани, до h=105см от к.г.п. по детайл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на </w:t>
      </w:r>
      <w:proofErr w:type="spellStart"/>
      <w:r w:rsidRPr="00DB01A8">
        <w:rPr>
          <w:rFonts w:asciiTheme="majorHAnsi" w:hAnsiTheme="majorHAnsi"/>
          <w:sz w:val="24"/>
          <w:szCs w:val="24"/>
        </w:rPr>
        <w:t>топлоизолационна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система тип XPS, д= 5 см и с </w:t>
      </w:r>
      <w:proofErr w:type="spellStart"/>
      <w:r w:rsidRPr="00DB01A8">
        <w:rPr>
          <w:rFonts w:asciiTheme="majorHAnsi" w:hAnsiTheme="majorHAnsi"/>
          <w:sz w:val="24"/>
          <w:szCs w:val="24"/>
        </w:rPr>
        <w:t>коеф</w:t>
      </w:r>
      <w:proofErr w:type="spellEnd"/>
      <w:r w:rsidRPr="00DB01A8">
        <w:rPr>
          <w:rFonts w:asciiTheme="majorHAnsi" w:hAnsiTheme="majorHAnsi"/>
          <w:sz w:val="24"/>
          <w:szCs w:val="24"/>
        </w:rPr>
        <w:t>. на топлопроводност л≤0,030 W/</w:t>
      </w:r>
      <w:proofErr w:type="spellStart"/>
      <w:r w:rsidRPr="00DB01A8">
        <w:rPr>
          <w:rFonts w:asciiTheme="majorHAnsi" w:hAnsiTheme="majorHAnsi"/>
          <w:sz w:val="24"/>
          <w:szCs w:val="24"/>
        </w:rPr>
        <w:t>mK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(вкл. лепило, </w:t>
      </w:r>
      <w:proofErr w:type="spellStart"/>
      <w:r w:rsidRPr="00DB01A8">
        <w:rPr>
          <w:rFonts w:asciiTheme="majorHAnsi" w:hAnsiTheme="majorHAnsi"/>
          <w:sz w:val="24"/>
          <w:szCs w:val="24"/>
        </w:rPr>
        <w:t>арм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. мрежа, циментова шпакловка,  ъглови профили и </w:t>
      </w:r>
      <w:proofErr w:type="spellStart"/>
      <w:r w:rsidRPr="00DB01A8">
        <w:rPr>
          <w:rFonts w:asciiTheme="majorHAnsi" w:hAnsiTheme="majorHAnsi"/>
          <w:sz w:val="24"/>
          <w:szCs w:val="24"/>
        </w:rPr>
        <w:t>крепежни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елементи) в/у външни стени - под прозорци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Почистване с </w:t>
      </w:r>
      <w:proofErr w:type="spellStart"/>
      <w:r w:rsidRPr="00DB01A8">
        <w:rPr>
          <w:rFonts w:asciiTheme="majorHAnsi" w:hAnsiTheme="majorHAnsi"/>
          <w:sz w:val="24"/>
          <w:szCs w:val="24"/>
        </w:rPr>
        <w:t>пароструйка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на мраморна облицовка, колони и цокъл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  <w:proofErr w:type="spellStart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</w:t>
      </w:r>
      <w:proofErr w:type="spellEnd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мярка 3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Топлинно изолиране на под и задължителни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lastRenderedPageBreak/>
        <w:t xml:space="preserve">Подът на сградата e два типа – под на отопляемо пространство над неотопляем сутеренен етаж и под граничещ с външен въздух (еркер).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t>Топлоизолация на пода не е положена. Обобщеният коефициент на топлопреминаване на пода е U= 1,30 W/m2K, който е много по-голям от нормативния за 2015г. - U=0,35W/m2K.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Предвижда се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на под граничещ с външен въздух  (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еркерните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излизания) на сградата. Обобщеният коефициент на топлопреминаване на пода намалява от  U=1,30W/m2K  на U = 0,76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Предвижда се полагане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топлоизолационна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система ЕPS, δ= 8 cm,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коеф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. на топлопроводност λ≤0,035 W/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mK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. по под граничещ с външен въздух (еркер), както и полагане на топлоизолация по стрехи, корнизи и други наддадени хоризонтални елементи с площ 57,60м2. Общата площ подлежаща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е 112,60 м2.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Демонтаж и обратен монтаж на метален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ламелен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окачен таван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Енергоспестяваща</w:t>
      </w:r>
      <w:proofErr w:type="spellEnd"/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мярка 4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- Топлинно изолиране на покрив и задължителни съпътстващи СМР: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i/>
          <w:iCs/>
          <w:sz w:val="24"/>
          <w:szCs w:val="24"/>
          <w:shd w:val="clear" w:color="auto" w:fill="FF00FF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а. Съществуващо положение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Покривът е на две нива,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двускатен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, с наклон от 37% за отводняване. Покритието е от марсилски керемиди. Отводняването е външно – с водосточни тръби по фасадата.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Частично над офис / фитнес 1 (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кота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±0,00, фасада запад)  покривът е плосък, граничещ с външен въздух тип тераса. Вследствие усвояване на тераса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кота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+6,31 (ап.3, фасада запад) в отопляемото пространство се е образувал допълнително покрив граничещ с външен въздух покрит с битумни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шиндли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Топлоизолация на покрива не е поставена.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  <w:r w:rsidRPr="00DB01A8">
        <w:rPr>
          <w:rFonts w:asciiTheme="majorHAnsi" w:hAnsiTheme="majorHAnsi" w:cs="Arial"/>
          <w:sz w:val="24"/>
          <w:szCs w:val="24"/>
        </w:rPr>
        <w:t>Обобщеният коефициент на топлопреминаване на покривите е U= 1,30 W/m2K, който е много по-голям от нормативния за 2015г. - U=0,31W/m2K.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shd w:val="clear" w:color="auto" w:fill="FFFF00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б.  Описание на мярката 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Предвижда се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на покриваната плоча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топлоизолационна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система  от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менерална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вата, δ= 12 cm 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коеф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. на топлопроводност λ≤0,040 W/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mK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. Предвижда се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топлоизолиране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на плосък покрив (тип тераса)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топлоизолационна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система  XPS, δ= 6 cm 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коеф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. на топлопроводност λ≤0,033 W/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mK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. Както и монтиране на покривни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термопанели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деб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. 120 mm за покрив  с U≤0,28 W/m2K, над затворен остъклен балкон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кота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+6,31 (ап.3, фасада запад).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DB01A8">
        <w:rPr>
          <w:rFonts w:asciiTheme="majorHAnsi" w:hAnsiTheme="majorHAnsi" w:cs="Arial"/>
          <w:sz w:val="24"/>
          <w:szCs w:val="24"/>
        </w:rPr>
        <w:t>Обобщеният коефициент на топлопреминаване на покрива намалява от  U=1,30W/m2K  на U= 0,48 W/m2K.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i/>
          <w:iCs/>
          <w:sz w:val="24"/>
          <w:szCs w:val="24"/>
        </w:rPr>
        <w:t>в. Описание на задължителните съпътстващите дейности на мярката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lastRenderedPageBreak/>
        <w:t xml:space="preserve"> Демонтаж покрив на сграда (керемиди, капаци </w:t>
      </w:r>
      <w:proofErr w:type="spellStart"/>
      <w:r w:rsidRPr="00DB01A8">
        <w:rPr>
          <w:rFonts w:asciiTheme="majorHAnsi" w:hAnsiTheme="majorHAnsi"/>
          <w:sz w:val="24"/>
          <w:szCs w:val="24"/>
        </w:rPr>
        <w:t>вароциментов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р-р и дървени профили), </w:t>
      </w:r>
      <w:proofErr w:type="spellStart"/>
      <w:r w:rsidRPr="00DB01A8">
        <w:rPr>
          <w:rFonts w:asciiTheme="majorHAnsi" w:hAnsiTheme="majorHAnsi"/>
          <w:sz w:val="24"/>
          <w:szCs w:val="24"/>
        </w:rPr>
        <w:t>нароварване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на камион и извозване на </w:t>
      </w:r>
      <w:proofErr w:type="spellStart"/>
      <w:r w:rsidRPr="00DB01A8">
        <w:rPr>
          <w:rFonts w:asciiTheme="majorHAnsi" w:hAnsiTheme="majorHAnsi"/>
          <w:sz w:val="24"/>
          <w:szCs w:val="24"/>
        </w:rPr>
        <w:t>стр</w:t>
      </w:r>
      <w:proofErr w:type="spellEnd"/>
      <w:r w:rsidRPr="00DB01A8">
        <w:rPr>
          <w:rFonts w:asciiTheme="majorHAnsi" w:hAnsiTheme="majorHAnsi"/>
          <w:sz w:val="24"/>
          <w:szCs w:val="24"/>
        </w:rPr>
        <w:t>, отпадъци на 10 км.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Премахване на дъсчена обшивка по стени и тавани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Възстановяване на бетонови шапки и направа на нови ламаринени шапки по комини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Дълбочинна импрегнация на тухления зид на комина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Възстановяване на </w:t>
      </w:r>
      <w:proofErr w:type="spellStart"/>
      <w:r w:rsidRPr="00DB01A8">
        <w:rPr>
          <w:rFonts w:asciiTheme="majorHAnsi" w:hAnsiTheme="majorHAnsi"/>
          <w:sz w:val="24"/>
          <w:szCs w:val="24"/>
        </w:rPr>
        <w:t>обрушена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мазилка по комини, вкл. циментова шпакловка, мрежа и силикатна мазилка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и изхвърляне на улуци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и изхвърляне на водосточни тръби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Демонтаж и изхвърляне на казанчета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Полагане на специализирана </w:t>
      </w:r>
      <w:proofErr w:type="spellStart"/>
      <w:r w:rsidRPr="00DB01A8">
        <w:rPr>
          <w:rFonts w:asciiTheme="majorHAnsi" w:hAnsiTheme="majorHAnsi"/>
          <w:sz w:val="24"/>
          <w:szCs w:val="24"/>
        </w:rPr>
        <w:t>хидоизолационна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мушама върху топлоизолацията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Направа на двойна скара от летви под керемиди- хоризонтални и по наклона със сечение 5/5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монтаж(</w:t>
      </w:r>
      <w:proofErr w:type="spellStart"/>
      <w:r w:rsidRPr="00DB01A8">
        <w:rPr>
          <w:rFonts w:asciiTheme="majorHAnsi" w:hAnsiTheme="majorHAnsi"/>
          <w:sz w:val="24"/>
          <w:szCs w:val="24"/>
        </w:rPr>
        <w:t>анкериране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към СТБ скатове) на дървени ребра със сечение 8/14 през 70 см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на нова обшивка от ламарина с полиестерно покритие по бордове,калкани,комини и </w:t>
      </w:r>
      <w:proofErr w:type="spellStart"/>
      <w:r w:rsidRPr="00DB01A8">
        <w:rPr>
          <w:rFonts w:asciiTheme="majorHAnsi" w:hAnsiTheme="majorHAnsi"/>
          <w:sz w:val="24"/>
          <w:szCs w:val="24"/>
        </w:rPr>
        <w:t>улами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DB01A8">
        <w:rPr>
          <w:rFonts w:asciiTheme="majorHAnsi" w:hAnsiTheme="majorHAnsi"/>
          <w:sz w:val="24"/>
          <w:szCs w:val="24"/>
        </w:rPr>
        <w:t>надулучни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поли.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на керамични керемиди вкл. </w:t>
      </w:r>
      <w:proofErr w:type="spellStart"/>
      <w:r w:rsidRPr="00DB01A8">
        <w:rPr>
          <w:rFonts w:asciiTheme="majorHAnsi" w:hAnsiTheme="majorHAnsi"/>
          <w:sz w:val="24"/>
          <w:szCs w:val="24"/>
        </w:rPr>
        <w:t>снегозадържащи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елементи и закрепване с винтове на първия ред керемиди към първата хоризонтална летва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Покриване на било и </w:t>
      </w:r>
      <w:proofErr w:type="spellStart"/>
      <w:r w:rsidRPr="00DB01A8">
        <w:rPr>
          <w:rFonts w:asciiTheme="majorHAnsi" w:hAnsiTheme="majorHAnsi"/>
          <w:sz w:val="24"/>
          <w:szCs w:val="24"/>
        </w:rPr>
        <w:t>маии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с керамични капаци със система за сух монтаж с водеща летва , пластични обшивки (</w:t>
      </w:r>
      <w:proofErr w:type="spellStart"/>
      <w:r w:rsidRPr="00DB01A8">
        <w:rPr>
          <w:rFonts w:asciiTheme="majorHAnsi" w:hAnsiTheme="majorHAnsi"/>
          <w:sz w:val="24"/>
          <w:szCs w:val="24"/>
        </w:rPr>
        <w:t>крепежни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елементи аксесоари за системата).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Направа на нова обшивка от ламарина с полиестерно покритие върху козирка, включително </w:t>
      </w:r>
      <w:proofErr w:type="spellStart"/>
      <w:r w:rsidRPr="00DB01A8">
        <w:rPr>
          <w:rFonts w:asciiTheme="majorHAnsi" w:hAnsiTheme="majorHAnsi"/>
          <w:sz w:val="24"/>
          <w:szCs w:val="24"/>
        </w:rPr>
        <w:t>летвена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скара и оформяне на </w:t>
      </w:r>
      <w:proofErr w:type="spellStart"/>
      <w:r w:rsidRPr="00DB01A8">
        <w:rPr>
          <w:rFonts w:asciiTheme="majorHAnsi" w:hAnsiTheme="majorHAnsi"/>
          <w:sz w:val="24"/>
          <w:szCs w:val="24"/>
        </w:rPr>
        <w:t>водокап</w:t>
      </w:r>
      <w:proofErr w:type="spellEnd"/>
      <w:r w:rsidRPr="00DB01A8">
        <w:rPr>
          <w:rFonts w:asciiTheme="majorHAnsi" w:hAnsiTheme="majorHAnsi"/>
          <w:sz w:val="24"/>
          <w:szCs w:val="24"/>
        </w:rPr>
        <w:t>.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на улуци от ламарина с полиестерно покритие, вкл. </w:t>
      </w:r>
      <w:proofErr w:type="spellStart"/>
      <w:r w:rsidRPr="00DB01A8">
        <w:rPr>
          <w:rFonts w:asciiTheme="majorHAnsi" w:hAnsiTheme="majorHAnsi"/>
          <w:sz w:val="24"/>
          <w:szCs w:val="24"/>
        </w:rPr>
        <w:t>крепежни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елементи, аксесоари, вкл. допълнителна ламарина при последната хоризонтална летва, вкл. летва 5/8 см, </w:t>
      </w:r>
      <w:proofErr w:type="spellStart"/>
      <w:r w:rsidRPr="00DB01A8">
        <w:rPr>
          <w:rFonts w:asciiTheme="majorHAnsi" w:hAnsiTheme="majorHAnsi"/>
          <w:sz w:val="24"/>
          <w:szCs w:val="24"/>
        </w:rPr>
        <w:t>вкл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ламаринена обшивка на летвата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Доставка и монтаж водосточни тръби ф100 от ламарина с полиестерно покритие </w:t>
      </w:r>
      <w:proofErr w:type="spellStart"/>
      <w:r w:rsidRPr="00DB01A8">
        <w:rPr>
          <w:rFonts w:asciiTheme="majorHAnsi" w:hAnsiTheme="majorHAnsi"/>
          <w:sz w:val="24"/>
          <w:szCs w:val="24"/>
        </w:rPr>
        <w:t>вкл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B01A8">
        <w:rPr>
          <w:rFonts w:asciiTheme="majorHAnsi" w:hAnsiTheme="majorHAnsi"/>
          <w:sz w:val="24"/>
          <w:szCs w:val="24"/>
        </w:rPr>
        <w:t>крепежни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елементи и аксесоари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Доставка и монтаж казанчета от ламарина с полиестерно покритие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Полагане на мразоустойчив </w:t>
      </w:r>
      <w:proofErr w:type="spellStart"/>
      <w:r w:rsidRPr="00DB01A8">
        <w:rPr>
          <w:rFonts w:asciiTheme="majorHAnsi" w:hAnsiTheme="majorHAnsi"/>
          <w:sz w:val="24"/>
          <w:szCs w:val="24"/>
        </w:rPr>
        <w:t>гранитогрес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върху под тип тераса, вкл. мразоустойчиво лепило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Направа на лека стоманена конструкция при покритие с </w:t>
      </w:r>
      <w:proofErr w:type="spellStart"/>
      <w:r w:rsidRPr="00DB01A8">
        <w:rPr>
          <w:rFonts w:asciiTheme="majorHAnsi" w:hAnsiTheme="majorHAnsi"/>
          <w:sz w:val="24"/>
          <w:szCs w:val="24"/>
        </w:rPr>
        <w:t>термопанели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от профили 80/40/3 мм, вкл. антикорозионен грунд и два пласта алкидна боя- бял цвят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Видовете дейности са обобщени в Количествена сметка, както следва:</w:t>
      </w:r>
    </w:p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8423" w:type="dxa"/>
        <w:jc w:val="center"/>
        <w:tblCellMar>
          <w:left w:w="0" w:type="dxa"/>
          <w:right w:w="0" w:type="dxa"/>
        </w:tblCellMar>
        <w:tblLook w:val="00A0"/>
      </w:tblPr>
      <w:tblGrid>
        <w:gridCol w:w="668"/>
        <w:gridCol w:w="5952"/>
        <w:gridCol w:w="750"/>
        <w:gridCol w:w="1053"/>
      </w:tblGrid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</w:t>
            </w:r>
            <w:proofErr w:type="spellEnd"/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по ред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Описание на допустимите дейности / СМР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Ед. мярка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К-во</w:t>
            </w:r>
            <w:proofErr w:type="spellEnd"/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br/>
              <w:t>общо за сградата от ИРП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Подмяна на дограма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съществуваща дървена и метална дограма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48,00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PVC дограма с двоен стъклопакет, с едно ниско емисионно външно стъкло, с коефициент на топлопреминаване ≤1.70 W/m2К, петкамерна - по спецификация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48,00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съществуваща дървена и метална дограма общи части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PVC дограма с двоен стъклопакет, с едно ниско емисионно външно стъкло, с коефициент на топлопреминаване  ≤1.70 W/m2К, петкамерна, по спецификация - стълбище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съществуващи покривни табакери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2,40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АL дограма с коефициент на топлопреминаване ≤2,00 W/m2K - входни врати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3,00</w:t>
            </w:r>
          </w:p>
        </w:tc>
      </w:tr>
      <w:tr w:rsidR="00220CC4" w:rsidRPr="00DB01A8">
        <w:trPr>
          <w:trHeight w:val="17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метални табакери 45/73 см. за ревизия на покрива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коефицент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на топлопреминаване ≤2,00 W/m2.К, с каса от алуминий и дърво, крило от алуминий със стъклопакет, вкл.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елементи, аксесоари, пластични обшивки, стоманена черна каса, обшиване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гипсокартон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отвътре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намаляне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на съществуващите отвори - по спецификация</w:t>
            </w:r>
          </w:p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I-C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подмяна на дограма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Вътрешно обръщане на дограма по апартаменти (вкл. гипсова шпакловка, ъгъл с мрежа и др.)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външен алуминиев подпрозоречен перваз ширина до 25 см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92,00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Вътрешно обръщане на дограма (вкл.шпакловка, ъгъл с мрежа и т.н.)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на вътрешен PVC перваз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32,00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Изкърпване,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дълбокопроникващ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грунд и шпакловане по стени и тавани - стълбище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стълбищни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площадки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на декоративна дървена решетка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19,00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Боядисване на стени и тавани с цветен латекс, двукратно, вкл. грунд - стълбище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стълбищни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площадки, вкл. направа на цокъл от блажна боя с h=25 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пожарозащитна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врата с размери 90/200 см. и клас EI-90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Дозиждане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за оформяне на страници за дограма от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газобетон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 дебелина 25 см., вкл. шпакловане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АL дограма с коефициент на топлопреминаване ≤2,00 W/m2K – декоративна решетка по спецификация, цвят по избор на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проектанта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21,00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lastRenderedPageBreak/>
              <w:t>II.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Топлинно изолиране на външни стени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тополоизолационна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система тип EPS, δ=8 см.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на топлопроводност λ≤0,035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(вкл. лепило,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арм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мрежа, шпакловка, ъглови профили,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водооткапващи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профили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елементи) върху външни стени и дъна на остъклени тераси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237,00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тополоизолационна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система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no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страници на прозорци, тип XPS, δ=2.0 см, ширина 20 см.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на топлопроводност λ≤0,035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(вкл. лепило,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арм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мрежа, шпакловка, ъглови профили,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водооткапващи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профили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60,00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Обработване на фуга с профил с интегрирана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стъклотекстилна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мрежа за уплътняване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разширителни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фуги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66,00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Направа на ивици с широчина 0.50 м. от плочи твърда каменна вата с дебелина 8 см., тегло 50 кг./куб.м., коефициент λ=0.035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, клас на горимост "А2", импрегнирана, включително лепило,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арм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мрежа с циментова шпаклова и аксесоари.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Полагане на цветна силикатна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екстериорна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мазилка по външни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топлоизолирани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стени, дъна на остъклени тераси и неизолирани стени, вкл. грундиране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325,00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II-C.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топлинно изолиране на външни стени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Доставка, монтаж и демонтаж на фасадно скеле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450,00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Демонтаж и монтаж и изместване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климатици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преди и след топлинно изолиране на външни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Циментова шпакловка, вкл.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арм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мрежа, грундиране и полагане на цветна силикатна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екстериорна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мазилка по вътрешната част на бордове на открити балкони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15,30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профил от ламарина с полиестерно покритие при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хлътвания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под прозорци по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62,20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Почистване, натоварване на камион и извозване на строителни отпадъци на 10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Демонтаж на съществуваща топлоизолация покрита със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40,00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външен перваз от врачански камък с ширина до 30 см за парапети на балкони,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фаски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водокапи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от двете страни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13,90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тополоизолационна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система тип XPS, δ= 3 см и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на топлопроводност λ≤0,035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(вкл. лепило,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арм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мрежа,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цим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шпакловка, ъглови профили,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водокапи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елементи) при козирка- дъно, чело и отгоре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9,50</w:t>
            </w:r>
          </w:p>
        </w:tc>
      </w:tr>
      <w:tr w:rsidR="00220CC4" w:rsidRPr="00DB01A8">
        <w:trPr>
          <w:trHeight w:val="17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Надграждане на балконски парапети - стоманени стойки, с антикорозионен грунд 25/40/2.5 мм монтирани челно за борда на парапета (чрез планки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анкерни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болтове)(през 75 см), трикратно боядисани и импрегнирана и лакирана дървена ръкохватка 10/3 см до h=105см от к.г.п. (по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детай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подобен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съществуващя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от съседния вход)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Надграждане на балконски парапети - стоманени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ръкохватски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ф 6 см и стойки ф 3 см, с антикорозионен грунд, трикратно боядисани, до h=105см от к.г.п. по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4,20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система тип XPS, δ= 5 см и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на топлопроводност λ≤0,030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(вкл. лепило,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арм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мрежа, циментова шпакловка,  ъглови профили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елементи) в/у външни стени - под прозорци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19,00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Почистване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пароструйка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на мраморна облицовка, колони и цокъл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III.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Топлинно изолиране на под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система тип EPS, δ=8 см.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на топлопроводност λ≤0,035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(вкл. лепило,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арм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мрежа,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цим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шпакловка, ъглови профили,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водооткапващи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профили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елементи) по еркери (вкл. над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мет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ламелен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ок. таван) и стрехи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118,00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Полагане на цветна силикатна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екстериорна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мазилка по еркери и стрехи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77,00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III-C.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топлинно изолиране на под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Демонтаж и обратен монтаж на метален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ламелен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окачен таван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IV.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Топлинно изолиране на покрив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топлоизолация на покривната плоча с минерална вата с дебелина δ=0,12m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на топлопроводност λ≤0,035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153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Полагане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система XPS с δ=6 см и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коеф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на топлопроводност λ≤0,033 W/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mK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и обемна плътност ρ=33÷39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kg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/m3 по покрив граничещ с външен въздух (тип тераса); Направа на армирана защитна циментова замазка с дебелина до 5см и мазана хидроизолация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пароизолация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PVC фолио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покривни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термопанели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деб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 120 mm за покрив  с U≤0,28 W/m2K, над затворен остъклен балкон и козирка, вкл. обшивка от ламарина по контура с шир. 15 см, цвят по избор на проектанта.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16,50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IV-C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Съпътстващи строително-монтажни работи, свързани с топлинно изолиране на покрив.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EFD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Демонтаж покрив на сграда (керемиди, капаци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вароциментов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р-р и дървени профили),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нароварване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на камион и извозване на стр. отпадъци на 10 км.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Премахване на дъсчена обшивка по стени и тавани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Възстановяване на бетонови шапки и направа на нови ламаринени шапки по комини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Дълбочинна импрегнация на тухления зид на комина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16,20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Възстановяване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обрушена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мазилка по комини, вкл. циментова шпакловка, мрежа и силикатна мазилка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16,20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изхвърляне на улуци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61,20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изхвърляне на водосточни тръби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Демонтаж и изхвърляне на казанчета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Полагане на специализирана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хидоизолационна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мушама върху топлоизолацията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Направа на двойна скара от летви под керемиди- хоризонтални и по наклона със сечение 5/5 см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анкериране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към СТБ скатове) на дървени ребра със сечение 8/14 през 70 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5,40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нова обшивка от ламарина с полиестерно покритие по бордове,калкани,комини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улами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надулучни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поли.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40,00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керамични керемиди вкл.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снегозадържащи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 и закрепване с винтове на първия ред керемиди към първата хоризонтална летва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340,00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Покриване на била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маии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 керамични капаци със система за сух монтаж с водеща летва, пластични обшивки,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 аксесоари за системата.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63,78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Направа на нова обшивка от ламарина с полиестерно покритие върху козирка, включително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летвена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скара и оформяне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водокап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3,78</w:t>
            </w:r>
          </w:p>
        </w:tc>
      </w:tr>
      <w:tr w:rsidR="00220CC4" w:rsidRPr="00DB01A8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улуци от ламарина с полиестерно покритие, вкл.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елементи, аксесоари, вкл. допълнителна ламарина при последната хоризонтална летва, вкл. летва 5/8 см, вкл. ламаринена обшивка на летвата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61,20</w:t>
            </w:r>
          </w:p>
        </w:tc>
      </w:tr>
      <w:tr w:rsidR="00220CC4" w:rsidRPr="00DB01A8">
        <w:trPr>
          <w:trHeight w:val="76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водосточни тръби ф100 от ламарина с полиестерно покритие, вкл.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крепежни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елементи и аксесоари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монтаж казанчета от ламарина с полиестерно покритие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5,00</w:t>
            </w:r>
          </w:p>
        </w:tc>
      </w:tr>
      <w:tr w:rsidR="00220CC4" w:rsidRPr="00DB01A8">
        <w:trPr>
          <w:trHeight w:val="51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Полагане на мразоустойчив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гранитогрес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върху под тип тераса, вкл. мразоустойчиво лепило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3,78</w:t>
            </w:r>
          </w:p>
        </w:tc>
      </w:tr>
      <w:tr w:rsidR="00220CC4" w:rsidRPr="00DB01A8">
        <w:trPr>
          <w:trHeight w:val="102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Направа на лека стоманена конструкция при покритие 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термопанели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от профили 80/40/3 мм, вкл. антикорозионен грунд и два пласта алкидна боя - бял цвят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185,00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Мълниезащитна</w:t>
            </w:r>
            <w:proofErr w:type="spellEnd"/>
            <w:r w:rsidRPr="00DB01A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 xml:space="preserve"> инсталация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 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полагане на AlMgSIØ8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68,00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полагане на шина 25/3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52,80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Доставка и полагане на шина 40/4, вкл.ГРТ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30,00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Доставка и монтаж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мълниеотводен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прът с Н=3м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Направа на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компл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заземителна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уредба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4,00</w:t>
            </w:r>
          </w:p>
        </w:tc>
      </w:tr>
      <w:tr w:rsidR="00220CC4" w:rsidRPr="00DB01A8">
        <w:trPr>
          <w:trHeight w:val="2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Пуско-наладъчни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работи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0CC4" w:rsidRPr="00DB01A8" w:rsidRDefault="00220CC4" w:rsidP="009101EB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18,00</w:t>
            </w:r>
          </w:p>
        </w:tc>
      </w:tr>
    </w:tbl>
    <w:p w:rsidR="00220CC4" w:rsidRPr="00DB01A8" w:rsidRDefault="00220CC4" w:rsidP="009101EB">
      <w:pPr>
        <w:spacing w:before="29" w:after="29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tabs>
          <w:tab w:val="left" w:pos="2745"/>
        </w:tabs>
        <w:spacing w:line="27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220CC4" w:rsidRPr="00DB01A8" w:rsidRDefault="00220CC4" w:rsidP="009101EB">
      <w:pPr>
        <w:tabs>
          <w:tab w:val="left" w:pos="2745"/>
        </w:tabs>
        <w:spacing w:line="27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VI.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 ИЗИСКВАНИЯ КЪМ ИЗПЪЛНЕНИЕ НА СТРОИТЕЛСТВОТО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Изпълнението на СМР за обновяване за енергийна ефективност се извършва в съответствие с част трета „Строителство” от ЗУТ и започва след издаване на разрешение за строеж от компетентните органи за всеки конкретен обект.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Разрешение за строеж се издава от съответната общинска администрация и при представяне на техническа документация с оценено съответствие. 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Участниците в строителството и взаимоотношенията между тях по проекта се определят от изискванията на раздел втори, част трета от ЗУТ и от указанията, дадени в тези</w:t>
      </w:r>
      <w:r w:rsidR="00D9060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color w:val="000000"/>
          <w:sz w:val="24"/>
          <w:szCs w:val="24"/>
        </w:rPr>
        <w:t>указания за изпълнение.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Строителят (физическо или юридическо лице, притежаващо съответната компетентност) изпълнява СМР за обновяване за енергийна ефективност за всеки обект/група от обекти в съответствие с издадените строителни книжа, условията на договора </w:t>
      </w:r>
      <w:r w:rsidRPr="00DB01A8">
        <w:rPr>
          <w:rFonts w:asciiTheme="majorHAnsi" w:hAnsiTheme="majorHAnsi" w:cs="Arial"/>
          <w:color w:val="000000"/>
          <w:sz w:val="24"/>
          <w:szCs w:val="24"/>
          <w:shd w:val="clear" w:color="auto" w:fill="FEFEFE"/>
        </w:rPr>
        <w:t>и изискванията на чл. 163 и чл.163а от ЗУТ.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lastRenderedPageBreak/>
        <w:t>По време на изпълнението на СМР за обновяване за енергийна ефективност лицензиран консултант – строителен надзор (чл. 166 от ЗУТ) въз основа на сключен договор упражнява строителен надзор в обхвата на договора и съобразно изискванията на чл. 168 от ЗУТ.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Поради естеството на проекта и спецификата на дейностите възложителят (общината) е различно лице от собствениците на обекта на интервенция, като извършва възлагане на СМР по силата на сключения договор. 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Обстоятелствата, свързани със започване, изпълнение и въвеждане в експлоатация (приемане) на СМР за обновяване за енергийна ефективност, ще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 Всички образци на документи, които засягат инвестиционния процес, ще се подписват освен от споменатите по-горе участници и от </w:t>
      </w:r>
      <w:proofErr w:type="spellStart"/>
      <w:r w:rsidRPr="00DB01A8">
        <w:rPr>
          <w:rFonts w:asciiTheme="majorHAnsi" w:hAnsiTheme="majorHAnsi" w:cs="Arial"/>
          <w:color w:val="000000"/>
          <w:sz w:val="24"/>
          <w:szCs w:val="24"/>
        </w:rPr>
        <w:t>упълномощия</w:t>
      </w:r>
      <w:proofErr w:type="spellEnd"/>
      <w:r w:rsidRPr="00DB01A8">
        <w:rPr>
          <w:rFonts w:asciiTheme="majorHAnsi" w:hAnsiTheme="majorHAnsi" w:cs="Arial"/>
          <w:color w:val="000000"/>
          <w:sz w:val="24"/>
          <w:szCs w:val="24"/>
        </w:rPr>
        <w:t xml:space="preserve"> представител на Сдружението на собствениците (СС). Възложителят ще се представлява от общината като реален такъв и СС като собственици на обекта. 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Техническото изпълнение на строителството трябва да бъде изпълнено в съответствие с изискванията на българската нормативна уредба, техническите спецификации на вложените в строежа строителни продукти, материали и оборудване, и добрите строителни практики в България и в Европа.</w:t>
      </w:r>
    </w:p>
    <w:p w:rsidR="00220CC4" w:rsidRPr="00DB01A8" w:rsidRDefault="00220CC4" w:rsidP="00CB26FA">
      <w:pPr>
        <w:pStyle w:val="1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60" w:line="276" w:lineRule="auto"/>
        <w:ind w:firstLine="54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Style w:val="a9"/>
          <w:rFonts w:asciiTheme="majorHAnsi" w:hAnsiTheme="majorHAnsi" w:cs="Arial"/>
          <w:b/>
          <w:bCs/>
          <w:color w:val="000000"/>
          <w:sz w:val="24"/>
          <w:szCs w:val="24"/>
        </w:rPr>
        <w:t>Общи изисквания към строежите и изисквания към строителните продукти и материали за трайно влагане в строежите, обекти по проекта:</w:t>
      </w:r>
    </w:p>
    <w:p w:rsidR="00220CC4" w:rsidRPr="00DB01A8" w:rsidRDefault="00220CC4" w:rsidP="00C51966">
      <w:pPr>
        <w:pStyle w:val="1"/>
        <w:shd w:val="clear" w:color="auto" w:fill="auto"/>
        <w:spacing w:before="0" w:after="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Съгласно Наредбата за съществените изисквания към строежите и оценяване съответствието на строителните продукти, основните изисквания към строежите по чл. 169, ал. 1 ЗУТ са изискванията, при изпълнението на които се постига осигуряване на безопасността и здравето на хората, безопасността на домашните животни и опазването на околната среда и имуществото и които се отнасят до предвидими въздействия.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Съществените изисквания към строежите, които могат да повлияят върху техническите характеристики на строителните продукти, са: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механично съпротивление и устойчивост (</w:t>
      </w:r>
      <w:proofErr w:type="spellStart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носимоспособност</w:t>
      </w:r>
      <w:proofErr w:type="spellEnd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);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безопасност при пожар;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хигиена, опазване на здравето и на околната среда;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безопасна експлоатация;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защита от шум;</w:t>
      </w:r>
    </w:p>
    <w:p w:rsidR="00220CC4" w:rsidRPr="00DB01A8" w:rsidRDefault="00220CC4" w:rsidP="00C51966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икономия на енергия и </w:t>
      </w:r>
      <w:proofErr w:type="spellStart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топлосъхранение</w:t>
      </w:r>
      <w:proofErr w:type="spellEnd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(енергийна ефективност).</w:t>
      </w:r>
    </w:p>
    <w:p w:rsidR="00220CC4" w:rsidRPr="00DB01A8" w:rsidRDefault="00220CC4" w:rsidP="00C51966">
      <w:pPr>
        <w:pStyle w:val="1"/>
        <w:shd w:val="clear" w:color="auto" w:fill="auto"/>
        <w:spacing w:before="0" w:after="24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С отчитане на горните нормативни изисквания, всички строителни продукти и материали, които се влагат при изпълнението на СМР в сградата по проекта, трябва </w:t>
      </w: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lastRenderedPageBreak/>
        <w:t>да имат оценено съответствие съгласно горепосочената наредба.</w:t>
      </w:r>
    </w:p>
    <w:p w:rsidR="00220CC4" w:rsidRPr="00DB01A8" w:rsidRDefault="00220CC4" w:rsidP="00C51966">
      <w:pPr>
        <w:pStyle w:val="1"/>
        <w:shd w:val="clear" w:color="auto" w:fill="auto"/>
        <w:spacing w:before="0" w:after="24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Строежът трябва да бъде изпълнен по такъв начин, че да не представлява заплаха за хигиената или здравето на обитателите или на съседите и за опазването на околната среда при: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отделяне на отровни газове;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Style w:val="a9"/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наличие на опасни частици или газове във въздуха;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излъчване на опасна радиация;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замърсяване или отравяне на водата или почвата;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Style w:val="a9"/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неправилно отвеждане на отпадъчни води, дим, твърди или течни отпадъци; </w:t>
      </w:r>
    </w:p>
    <w:p w:rsidR="00220CC4" w:rsidRPr="00DB01A8" w:rsidRDefault="00220CC4" w:rsidP="00C51966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наличие на влага в части от строежа или по повърхности във вътрешността на строежа.</w:t>
      </w:r>
    </w:p>
    <w:p w:rsidR="00220CC4" w:rsidRPr="00DB01A8" w:rsidRDefault="00220CC4" w:rsidP="00C51966">
      <w:pPr>
        <w:pStyle w:val="1"/>
        <w:shd w:val="clear" w:color="auto" w:fill="auto"/>
        <w:spacing w:before="0" w:after="24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Всяка доставка на строителната площадката и/или в складовете на Изпълнителя на строителни продукти които съответстват на европейските технически спецификации, трябва да има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220CC4" w:rsidRPr="00DB01A8" w:rsidRDefault="00220CC4" w:rsidP="00C51966">
      <w:pPr>
        <w:pStyle w:val="1"/>
        <w:shd w:val="clear" w:color="auto" w:fill="auto"/>
        <w:spacing w:before="0" w:after="23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На строежа следва да бъдат доставени само строителни продукти, които притежават подходящи характеристики за вграждане, монтиране, поставяне или инсталиране в сградите и само такива, които са заложени в проекта на сградата със съответните им технически характеристики,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220CC4" w:rsidRPr="00DB01A8" w:rsidRDefault="00220CC4" w:rsidP="00C51966">
      <w:pPr>
        <w:pStyle w:val="1"/>
        <w:shd w:val="clear" w:color="auto" w:fill="auto"/>
        <w:spacing w:before="0" w:after="24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Всяка доставка се контролира от консултантът, упражняващ строителен надзор на строежа.</w:t>
      </w:r>
    </w:p>
    <w:p w:rsidR="00220CC4" w:rsidRPr="00DB01A8" w:rsidRDefault="00220CC4" w:rsidP="00C51966">
      <w:pPr>
        <w:pStyle w:val="121"/>
        <w:shd w:val="clear" w:color="auto" w:fill="auto"/>
        <w:spacing w:before="0" w:line="276" w:lineRule="auto"/>
        <w:ind w:firstLine="540"/>
        <w:rPr>
          <w:rFonts w:asciiTheme="majorHAnsi" w:hAnsiTheme="majorHAnsi" w:cs="Arial"/>
          <w:sz w:val="24"/>
          <w:szCs w:val="24"/>
        </w:rPr>
      </w:pPr>
      <w:r w:rsidRPr="00DB01A8">
        <w:rPr>
          <w:rStyle w:val="120"/>
          <w:rFonts w:asciiTheme="majorHAnsi" w:hAnsiTheme="majorHAnsi" w:cs="Arial"/>
          <w:color w:val="000000"/>
          <w:sz w:val="24"/>
          <w:szCs w:val="24"/>
        </w:rPr>
        <w:t xml:space="preserve">Доставката на оборудване, </w:t>
      </w:r>
      <w:proofErr w:type="spellStart"/>
      <w:r w:rsidRPr="00DB01A8">
        <w:rPr>
          <w:rStyle w:val="120"/>
          <w:rFonts w:asciiTheme="majorHAnsi" w:hAnsiTheme="majorHAnsi" w:cs="Arial"/>
          <w:color w:val="000000"/>
          <w:sz w:val="24"/>
          <w:szCs w:val="24"/>
        </w:rPr>
        <w:t>потребяващо</w:t>
      </w:r>
      <w:proofErr w:type="spellEnd"/>
      <w:r w:rsidRPr="00DB01A8">
        <w:rPr>
          <w:rStyle w:val="120"/>
          <w:rFonts w:asciiTheme="majorHAnsi" w:hAnsiTheme="majorHAnsi" w:cs="Arial"/>
          <w:color w:val="000000"/>
          <w:sz w:val="24"/>
          <w:szCs w:val="24"/>
        </w:rPr>
        <w:t xml:space="preserve"> енергия, свързано с изпълнение на </w:t>
      </w:r>
      <w:proofErr w:type="spellStart"/>
      <w:r w:rsidRPr="00DB01A8">
        <w:rPr>
          <w:rStyle w:val="120"/>
          <w:rFonts w:asciiTheme="majorHAnsi" w:hAnsiTheme="majorHAnsi" w:cs="Arial"/>
          <w:color w:val="000000"/>
          <w:sz w:val="24"/>
          <w:szCs w:val="24"/>
        </w:rPr>
        <w:t>енергоспестяващи</w:t>
      </w:r>
      <w:proofErr w:type="spellEnd"/>
      <w:r w:rsidRPr="00DB01A8">
        <w:rPr>
          <w:rStyle w:val="120"/>
          <w:rFonts w:asciiTheme="majorHAnsi" w:hAnsiTheme="majorHAnsi" w:cs="Arial"/>
          <w:color w:val="000000"/>
          <w:sz w:val="24"/>
          <w:szCs w:val="24"/>
        </w:rPr>
        <w:t xml:space="preserve"> мерки в сградите трябва да бъде придружено с документи, изискващи се от </w:t>
      </w:r>
      <w:r w:rsidRPr="00DB01A8">
        <w:rPr>
          <w:rStyle w:val="12"/>
          <w:rFonts w:asciiTheme="majorHAnsi" w:hAnsiTheme="majorHAnsi" w:cs="Arial"/>
          <w:color w:val="000000"/>
          <w:sz w:val="24"/>
          <w:szCs w:val="24"/>
        </w:rPr>
        <w:t>Наредба на МС за изискванията за етикетиране и предоставяне на стандартна информация за продукти, свързани с енергопотреблението, по отношение на консумацията на енергия и на други ресурси.</w:t>
      </w:r>
    </w:p>
    <w:p w:rsidR="00220CC4" w:rsidRPr="00DB01A8" w:rsidRDefault="00220CC4" w:rsidP="00C51966">
      <w:pPr>
        <w:pStyle w:val="310"/>
        <w:keepNext/>
        <w:keepLines/>
        <w:numPr>
          <w:ilvl w:val="1"/>
          <w:numId w:val="1"/>
        </w:numPr>
        <w:shd w:val="clear" w:color="auto" w:fill="auto"/>
        <w:tabs>
          <w:tab w:val="left" w:pos="1450"/>
        </w:tabs>
        <w:spacing w:before="0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 xml:space="preserve">Мостри на строителните продукти и на уреди </w:t>
      </w:r>
      <w:proofErr w:type="spellStart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>потребяващи</w:t>
      </w:r>
      <w:proofErr w:type="spellEnd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 xml:space="preserve"> енергия, предоставяне на информация на потребителите, чрез етикети, информационни листове и технически каталози от производителите.</w:t>
      </w:r>
    </w:p>
    <w:p w:rsidR="00220CC4" w:rsidRPr="00DB01A8" w:rsidRDefault="00220CC4" w:rsidP="00C51966">
      <w:pPr>
        <w:pStyle w:val="1"/>
        <w:shd w:val="clear" w:color="auto" w:fill="auto"/>
        <w:spacing w:before="0" w:after="23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Това е всяка техническа документация, която позволява да се установи достоверността на съдържащата се в етикета и информационния лист информация.</w:t>
      </w:r>
    </w:p>
    <w:p w:rsidR="00220CC4" w:rsidRPr="00DB01A8" w:rsidRDefault="00220CC4" w:rsidP="00C51966">
      <w:pPr>
        <w:snapToGrid w:val="0"/>
        <w:spacing w:after="120" w:line="276" w:lineRule="auto"/>
        <w:ind w:firstLine="540"/>
        <w:jc w:val="both"/>
        <w:rPr>
          <w:rStyle w:val="a9"/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За основните строителни продукти, които ще бъдат вложени в строежа, за да се </w:t>
      </w: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lastRenderedPageBreak/>
        <w:t xml:space="preserve">постигне основното изискване по чл. 169, ал.1, т.6 от ЗУТ за икономия на енергия и </w:t>
      </w:r>
      <w:proofErr w:type="spellStart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топлосъхранение</w:t>
      </w:r>
      <w:proofErr w:type="spellEnd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- енергийна ефективност, изпълнителят представя мостри. Мострите се одобряват от лицето, упражняващо строителен надзор на строежа. 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Доставката на всички продукти, материали и оборудване, необходими за изпълнение на строителните и монтажните работи е задължение на Изпълнителя.</w:t>
      </w:r>
    </w:p>
    <w:p w:rsidR="00220CC4" w:rsidRPr="00DB01A8" w:rsidRDefault="00220CC4" w:rsidP="00C51966">
      <w:pPr>
        <w:pStyle w:val="1"/>
        <w:shd w:val="clear" w:color="auto" w:fill="auto"/>
        <w:spacing w:before="0" w:after="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 строежите трябва да бъдат вложени материали, определени в проектите, отговарящи на изискванията в българските и/или европейските стандарти.</w:t>
      </w:r>
    </w:p>
    <w:p w:rsidR="00220CC4" w:rsidRPr="00DB01A8" w:rsidRDefault="00220CC4" w:rsidP="00C51966">
      <w:pPr>
        <w:pStyle w:val="1"/>
        <w:shd w:val="clear" w:color="auto" w:fill="auto"/>
        <w:spacing w:before="0" w:after="6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предварително трябва да съгласува с Възложителя всички влагани в строителството материали, елементи, изделия, конструкции и др. подобни. Всяка промяна в одобрения проект да бъде съгласувана и приета от Възложителя.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Не се допуска влагането на неодобрени материали и оборудване и такива ще бъдат отстранявани от строежа и заменяни с материали и оборудване, одобрени по нареждане на Възложителя.</w:t>
      </w:r>
    </w:p>
    <w:p w:rsidR="00220CC4" w:rsidRPr="00DB01A8" w:rsidRDefault="00220CC4" w:rsidP="00C51966">
      <w:pPr>
        <w:pStyle w:val="1"/>
        <w:shd w:val="clear" w:color="auto" w:fill="auto"/>
        <w:spacing w:before="0" w:after="6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точно и надлежно трябва да изпълни договорените работи според одобрения от Възложителя инвестиционен проект и качество, съответстващо на БДС. Да съблюдава и спазва всички норми за предаване и приемане на СМР и всички други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220CC4" w:rsidRPr="00DB01A8" w:rsidRDefault="00220CC4" w:rsidP="00C51966">
      <w:pPr>
        <w:pStyle w:val="1"/>
        <w:shd w:val="clear" w:color="auto" w:fill="auto"/>
        <w:spacing w:before="0" w:after="3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трябва да осигури и съхранява Заповедната книга на строежа. Всички предписания в Заповедната книга да се приемат и изпълняват само ако са одобрени и подписани от посочен представител на Възложителя. Всяко намаление или увеличение в обемите, посочени в договора, ще се обявява писмено и съгласува преди каквато и да е промяна в проекта и по-нататъшното изпълнение на поръчката и строителството.</w:t>
      </w:r>
    </w:p>
    <w:p w:rsidR="00220CC4" w:rsidRPr="00DB01A8" w:rsidRDefault="00220CC4" w:rsidP="00CB26FA">
      <w:pPr>
        <w:pStyle w:val="310"/>
        <w:keepNext/>
        <w:keepLines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364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0" w:name="bookmark7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>Изисквания относно осигуряване на безопасни и здравословни условия на труд. План за безопасност и здраве.</w:t>
      </w:r>
      <w:bookmarkEnd w:id="0"/>
    </w:p>
    <w:p w:rsidR="00220CC4" w:rsidRPr="00DB01A8" w:rsidRDefault="00220CC4" w:rsidP="00C51966">
      <w:pPr>
        <w:pStyle w:val="1"/>
        <w:shd w:val="clear" w:color="auto" w:fill="auto"/>
        <w:spacing w:before="0" w:after="6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</w:t>
      </w: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lastRenderedPageBreak/>
        <w:t>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220CC4" w:rsidRPr="00DB01A8" w:rsidRDefault="00220CC4" w:rsidP="00C51966">
      <w:pPr>
        <w:pStyle w:val="1"/>
        <w:shd w:val="clear" w:color="auto" w:fill="auto"/>
        <w:spacing w:before="0" w:after="53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220CC4" w:rsidRPr="00DB01A8" w:rsidRDefault="00220CC4" w:rsidP="00C51966">
      <w:pPr>
        <w:pStyle w:val="1"/>
        <w:shd w:val="clear" w:color="auto" w:fill="auto"/>
        <w:spacing w:before="0" w:after="275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Изпълнителят е длъжен да спазва одобрения от Възложителя и </w:t>
      </w:r>
      <w:proofErr w:type="spellStart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компетентите</w:t>
      </w:r>
      <w:proofErr w:type="spellEnd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 xml:space="preserve"> органи План за безопасност и здраве за </w:t>
      </w:r>
      <w:proofErr w:type="spellStart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строежаВъзложителят</w:t>
      </w:r>
      <w:proofErr w:type="spellEnd"/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, чрез Консултанта изпълняващ строителен надзор, ще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220CC4" w:rsidRPr="00DB01A8" w:rsidRDefault="00220CC4" w:rsidP="00C51966">
      <w:pPr>
        <w:pStyle w:val="310"/>
        <w:keepNext/>
        <w:keepLines/>
        <w:numPr>
          <w:ilvl w:val="1"/>
          <w:numId w:val="1"/>
        </w:numPr>
        <w:shd w:val="clear" w:color="auto" w:fill="auto"/>
        <w:spacing w:before="0" w:after="263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1" w:name="bookmark8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 xml:space="preserve"> Изисквания относно опазване на околната среда.</w:t>
      </w:r>
      <w:bookmarkEnd w:id="1"/>
    </w:p>
    <w:p w:rsidR="00220CC4" w:rsidRPr="00DB01A8" w:rsidRDefault="00220CC4" w:rsidP="00C51966">
      <w:pPr>
        <w:pStyle w:val="1"/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220CC4" w:rsidRPr="00DB01A8" w:rsidRDefault="00220CC4" w:rsidP="00C51966">
      <w:pPr>
        <w:pStyle w:val="1"/>
        <w:shd w:val="clear" w:color="auto" w:fill="auto"/>
        <w:spacing w:before="0" w:after="24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220CC4" w:rsidRPr="00DB01A8" w:rsidRDefault="00220CC4" w:rsidP="00CB26FA">
      <w:pPr>
        <w:pStyle w:val="310"/>
        <w:keepNext/>
        <w:keepLines/>
        <w:numPr>
          <w:ilvl w:val="1"/>
          <w:numId w:val="1"/>
        </w:numPr>
        <w:shd w:val="clear" w:color="auto" w:fill="auto"/>
        <w:spacing w:before="0" w:after="349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2" w:name="bookmark9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t xml:space="preserve"> Системи за проверка и контрол на работите в процеса на тяхното изпълнение.</w:t>
      </w:r>
      <w:bookmarkEnd w:id="2"/>
    </w:p>
    <w:p w:rsidR="00220CC4" w:rsidRPr="00DB01A8" w:rsidRDefault="00220CC4" w:rsidP="00C51966">
      <w:pPr>
        <w:pStyle w:val="1"/>
        <w:shd w:val="clear" w:color="auto" w:fill="auto"/>
        <w:spacing w:before="0" w:after="68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Възложителят ще осигури Консултант, който ще упражняване строителен надзор съгласно чл. 166, ал. 1, т.1 от ЗУТ.</w:t>
      </w:r>
    </w:p>
    <w:p w:rsidR="00220CC4" w:rsidRPr="00DB01A8" w:rsidRDefault="00220CC4" w:rsidP="00C51966">
      <w:pPr>
        <w:pStyle w:val="1"/>
        <w:shd w:val="clear" w:color="auto" w:fill="auto"/>
        <w:spacing w:before="0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Възложителят и/или Консултантът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220CC4" w:rsidRPr="00DB01A8" w:rsidRDefault="00220CC4" w:rsidP="00C51966">
      <w:pPr>
        <w:pStyle w:val="1"/>
        <w:shd w:val="clear" w:color="auto" w:fill="auto"/>
        <w:spacing w:before="0" w:after="95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220CC4" w:rsidRPr="00DB01A8" w:rsidRDefault="00220CC4" w:rsidP="00C51966">
      <w:pPr>
        <w:pStyle w:val="310"/>
        <w:keepNext/>
        <w:keepLines/>
        <w:numPr>
          <w:ilvl w:val="1"/>
          <w:numId w:val="1"/>
        </w:numPr>
        <w:shd w:val="clear" w:color="auto" w:fill="auto"/>
        <w:spacing w:before="0" w:after="133" w:line="276" w:lineRule="auto"/>
        <w:ind w:firstLine="540"/>
        <w:rPr>
          <w:rFonts w:asciiTheme="majorHAnsi" w:hAnsiTheme="majorHAnsi" w:cs="Arial"/>
          <w:b/>
          <w:bCs/>
          <w:sz w:val="24"/>
          <w:szCs w:val="24"/>
        </w:rPr>
      </w:pPr>
      <w:bookmarkStart w:id="3" w:name="bookmark10"/>
      <w:r w:rsidRPr="00DB01A8">
        <w:rPr>
          <w:rStyle w:val="31"/>
          <w:rFonts w:asciiTheme="majorHAnsi" w:hAnsiTheme="majorHAnsi" w:cs="Arial"/>
          <w:b/>
          <w:bCs/>
          <w:color w:val="000000"/>
          <w:sz w:val="24"/>
          <w:szCs w:val="24"/>
        </w:rPr>
        <w:lastRenderedPageBreak/>
        <w:t xml:space="preserve"> Проверки и изпитвания.</w:t>
      </w:r>
      <w:bookmarkEnd w:id="3"/>
    </w:p>
    <w:p w:rsidR="00220CC4" w:rsidRPr="00DB01A8" w:rsidRDefault="00220CC4" w:rsidP="00C51966">
      <w:pPr>
        <w:pStyle w:val="1"/>
        <w:shd w:val="clear" w:color="auto" w:fill="auto"/>
        <w:spacing w:before="0" w:after="56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Изпълнителят е длъжен да осигурява винаги достъп до строителната площадка на упълномощени представители на Възложителя и Консултанта.</w:t>
      </w:r>
    </w:p>
    <w:p w:rsidR="00220CC4" w:rsidRPr="00DB01A8" w:rsidRDefault="00220CC4" w:rsidP="00C51966">
      <w:pPr>
        <w:pStyle w:val="1"/>
        <w:shd w:val="clear" w:color="auto" w:fill="auto"/>
        <w:spacing w:before="0" w:after="64" w:line="276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220CC4" w:rsidRPr="00DB01A8" w:rsidRDefault="00220CC4" w:rsidP="00C51966">
      <w:pPr>
        <w:pStyle w:val="1"/>
        <w:shd w:val="clear" w:color="auto" w:fill="auto"/>
        <w:spacing w:before="0" w:after="395" w:line="276" w:lineRule="auto"/>
        <w:ind w:firstLine="540"/>
        <w:jc w:val="both"/>
        <w:rPr>
          <w:rStyle w:val="a9"/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Style w:val="a9"/>
          <w:rFonts w:asciiTheme="majorHAnsi" w:hAnsiTheme="majorHAnsi" w:cs="Arial"/>
          <w:color w:val="000000"/>
          <w:sz w:val="24"/>
          <w:szCs w:val="24"/>
        </w:rPr>
        <w:t>Текущият контрол от Изпълнителя на строително-монтажните работи следва да се извършва по начин,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контрол.</w:t>
      </w:r>
    </w:p>
    <w:p w:rsidR="00220CC4" w:rsidRPr="00DB01A8" w:rsidRDefault="00220CC4" w:rsidP="00F678D6">
      <w:pPr>
        <w:pStyle w:val="ae"/>
        <w:numPr>
          <w:ilvl w:val="0"/>
          <w:numId w:val="10"/>
        </w:numPr>
        <w:suppressAutoHyphens/>
        <w:snapToGrid w:val="0"/>
        <w:spacing w:after="120"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bookmarkStart w:id="4" w:name="_Toc409108750"/>
      <w:bookmarkStart w:id="5" w:name="_Toc409109027"/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Строително-технически норми и правила. </w:t>
      </w:r>
      <w:bookmarkEnd w:id="4"/>
      <w:bookmarkEnd w:id="5"/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Националното законодателство в областта на енергийната ефективност в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сградния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сектор включва: ЗЕЕ, ЗУТ, ЗЕ, ЗЕВИ, ЗТИП, Закона за националната стандартизация и др. Законовите и подзаконовите нормативни актове постоянно се хармонизират с правото на Европейския съюз Директива 2010/31/ЕС, Директива 2009/28/ЕО за насърчаване използването на енергия от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възобновяеми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източници, Директива 2006/32/ЕО за ефективността при крайното потребление на енергия и осъществяване на енергийни услуги, отменена от нова Директива 2012/27/ЕС за енергийната ефективност, Регламент (ЕС) №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89/106/ЕИО, Директивите от „Нов подход” и стандартите от приложното им поле, както и технически норми, методи и принципи на добрите европейски практики.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Основните подзаконови нормативни актове,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ефективност, са както следва: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ЗУТ:</w:t>
      </w:r>
    </w:p>
    <w:p w:rsidR="00220CC4" w:rsidRPr="00DB01A8" w:rsidRDefault="00220CC4" w:rsidP="00F678D6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Наредба № 7 от 2004 г. за енергийна ефективност, </w:t>
      </w:r>
      <w:proofErr w:type="spellStart"/>
      <w:r w:rsidRPr="00DB01A8">
        <w:rPr>
          <w:rFonts w:asciiTheme="majorHAnsi" w:hAnsiTheme="majorHAnsi"/>
          <w:sz w:val="24"/>
          <w:szCs w:val="24"/>
        </w:rPr>
        <w:t>топлосъхранение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и икономия на енергия в сгради;</w:t>
      </w:r>
    </w:p>
    <w:p w:rsidR="00220CC4" w:rsidRPr="00DB01A8" w:rsidRDefault="00220CC4" w:rsidP="00F678D6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5 от 2006 г. за техническите паспорти на строежите.</w:t>
      </w:r>
    </w:p>
    <w:p w:rsidR="00220CC4" w:rsidRPr="00DB01A8" w:rsidRDefault="00220CC4" w:rsidP="00F678D6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Наредба № 2 от 2008 г. за проектиране, изпълнение, контрол и приемане на хидроизолации и </w:t>
      </w:r>
      <w:proofErr w:type="spellStart"/>
      <w:r w:rsidRPr="00DB01A8">
        <w:rPr>
          <w:rFonts w:asciiTheme="majorHAnsi" w:hAnsiTheme="majorHAnsi"/>
          <w:sz w:val="24"/>
          <w:szCs w:val="24"/>
        </w:rPr>
        <w:t>хидроизолационни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системи на сгради и съоръжения.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ЗЕЕ:</w:t>
      </w:r>
    </w:p>
    <w:p w:rsidR="00220CC4" w:rsidRPr="00DB01A8" w:rsidRDefault="00220CC4" w:rsidP="00F678D6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16-1594 от 2013 г. за обследване за енергийна ефективност, сертифициране и оценка на енергийните спестявания на сгради;</w:t>
      </w:r>
    </w:p>
    <w:p w:rsidR="00220CC4" w:rsidRPr="00DB01A8" w:rsidRDefault="00220CC4" w:rsidP="00F678D6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lastRenderedPageBreak/>
        <w:t>Наредба № РД-16-1058 от 2009 г. за показателите за разход на енергия и енергийните характеристики на сградите;</w:t>
      </w:r>
    </w:p>
    <w:p w:rsidR="00220CC4" w:rsidRPr="00DB01A8" w:rsidRDefault="00220CC4" w:rsidP="00F678D6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Наредба № РД-16-932 от 2009 г. за условията и реда за извършване на проверка за енергийна ефективност на </w:t>
      </w:r>
      <w:proofErr w:type="spellStart"/>
      <w:r w:rsidRPr="00DB01A8">
        <w:rPr>
          <w:rFonts w:asciiTheme="majorHAnsi" w:hAnsiTheme="majorHAnsi"/>
          <w:sz w:val="24"/>
          <w:szCs w:val="24"/>
        </w:rPr>
        <w:t>водогрейните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котли и на климатичните инсталации по    чл. 27, ал. 1 и чл. 28, ал. 1 от Закона за енергийната ефективност и за създаване, поддържане и ползване на базата данни за тях.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ЗЕ:</w:t>
      </w:r>
    </w:p>
    <w:p w:rsidR="00220CC4" w:rsidRPr="00DB01A8" w:rsidRDefault="00220CC4" w:rsidP="00F678D6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Наредба № 15 от 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енергия, както и методиките за нейното прилагане.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>На основание на ЗТИП:</w:t>
      </w:r>
    </w:p>
    <w:p w:rsidR="00220CC4" w:rsidRPr="00DB01A8" w:rsidRDefault="00220CC4" w:rsidP="00F678D6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Наредба за съществените изисквания към строежите и оценяване съответствието на строителните продукти, приета с Постановление № 325 на Министерския съвет от 2006 г. </w:t>
      </w:r>
    </w:p>
    <w:p w:rsidR="00220CC4" w:rsidRPr="00DB01A8" w:rsidRDefault="00220CC4" w:rsidP="00F678D6">
      <w:pPr>
        <w:spacing w:after="60" w:line="276" w:lineRule="auto"/>
        <w:ind w:left="20" w:right="20" w:firstLine="720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220CC4" w:rsidRPr="00DB01A8" w:rsidRDefault="00220CC4" w:rsidP="00F678D6">
      <w:pPr>
        <w:spacing w:after="120" w:line="276" w:lineRule="auto"/>
        <w:ind w:right="20" w:firstLine="36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Строителните продукти</w:t>
      </w:r>
      <w:r w:rsidRPr="00DB01A8">
        <w:rPr>
          <w:rFonts w:asciiTheme="majorHAnsi" w:hAnsiTheme="majorHAnsi" w:cs="Arial"/>
          <w:sz w:val="24"/>
          <w:szCs w:val="24"/>
        </w:rPr>
        <w:t>,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употреба. Характеристиките им трябва да са подходящи за вграждане, монтиране, поставяне или инсталиране при проектиране на сградите и техните обновявания, ремонти и реконструкции.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DB01A8">
        <w:rPr>
          <w:rFonts w:asciiTheme="majorHAnsi" w:hAnsiTheme="majorHAnsi" w:cs="Arial"/>
          <w:sz w:val="24"/>
          <w:szCs w:val="24"/>
          <w:u w:val="single"/>
        </w:rPr>
        <w:t>По смисъла на Регламент № 305: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строителен продукт</w:t>
      </w:r>
      <w:r w:rsidRPr="00DB01A8">
        <w:rPr>
          <w:rFonts w:asciiTheme="majorHAnsi" w:hAnsiTheme="majorHAnsi"/>
          <w:sz w:val="24"/>
          <w:szCs w:val="24"/>
        </w:rPr>
        <w:t xml:space="preserve">“ означава всеки продукт или комплект,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строежите; 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комплект</w:t>
      </w:r>
      <w:r w:rsidRPr="00DB01A8">
        <w:rPr>
          <w:rFonts w:asciiTheme="majorHAnsi" w:hAnsiTheme="majorHAnsi"/>
          <w:sz w:val="24"/>
          <w:szCs w:val="24"/>
        </w:rPr>
        <w:t>“ означава строителен продукт, пуснат на пазара от един-единствен производител, под формата на набор от най-малко два отделни компонента, които трябва да бъдат сглобени, за да бъдат вложени в строежите;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съществени характеристики</w:t>
      </w:r>
      <w:r w:rsidRPr="00DB01A8">
        <w:rPr>
          <w:rFonts w:asciiTheme="majorHAnsi" w:hAnsiTheme="majorHAnsi"/>
          <w:sz w:val="24"/>
          <w:szCs w:val="24"/>
        </w:rPr>
        <w:t>“ означава онези характеристики на строителния продукт, които имат отношение към основните изисквания към строежите;</w:t>
      </w:r>
    </w:p>
    <w:p w:rsidR="00220CC4" w:rsidRPr="00DB01A8" w:rsidRDefault="00220CC4" w:rsidP="00F678D6">
      <w:pPr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20" w:right="20" w:firstLine="720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lastRenderedPageBreak/>
        <w:t>„</w:t>
      </w:r>
      <w:r w:rsidRPr="00DB01A8">
        <w:rPr>
          <w:rFonts w:asciiTheme="majorHAnsi" w:hAnsiTheme="majorHAnsi"/>
          <w:i/>
          <w:iCs/>
          <w:sz w:val="24"/>
          <w:szCs w:val="24"/>
        </w:rPr>
        <w:t>експлоатационни показатели на строителния продукт</w:t>
      </w:r>
      <w:r w:rsidRPr="00DB01A8">
        <w:rPr>
          <w:rFonts w:asciiTheme="majorHAnsi" w:hAnsiTheme="majorHAnsi"/>
          <w:sz w:val="24"/>
          <w:szCs w:val="24"/>
        </w:rPr>
        <w:t>“ означава експлоатационните показатели, свързани със съответните съществени характеристики, изразени като ниво, клас или в описание.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Редът за прилагане на техническите спецификации на строителните продукти е в съответствие с Регламент № 305, чл. 5, ал. 2  и 3 от ЗТИП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са: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1)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декларация за експлоатационни показатели</w:t>
      </w:r>
      <w:r w:rsidRPr="00DB01A8">
        <w:rPr>
          <w:rFonts w:asciiTheme="majorHAnsi" w:hAnsiTheme="majorHAnsi" w:cs="Arial"/>
          <w:sz w:val="24"/>
          <w:szCs w:val="24"/>
        </w:rPr>
        <w:t xml:space="preserve">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 ;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2)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декларация за характеристиките на строителния продукт</w:t>
      </w:r>
      <w:r w:rsidRPr="00DB01A8">
        <w:rPr>
          <w:rFonts w:asciiTheme="majorHAnsi" w:hAnsiTheme="majorHAnsi" w:cs="Arial"/>
          <w:sz w:val="24"/>
          <w:szCs w:val="24"/>
        </w:rPr>
        <w:t>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3)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декларация за съответствие с изискванията на инвестиционния проект</w:t>
      </w:r>
      <w:r w:rsidRPr="00DB01A8">
        <w:rPr>
          <w:rFonts w:asciiTheme="majorHAnsi" w:hAnsiTheme="majorHAnsi" w:cs="Arial"/>
          <w:sz w:val="24"/>
          <w:szCs w:val="24"/>
        </w:rPr>
        <w:t>, когато  строителните продукти са произведени индивидуално или по заявка, не чрез серийно производство, за влагане в един единствен строеж.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shd w:val="clear" w:color="auto" w:fill="FEFEFE"/>
        </w:rPr>
      </w:pP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>На строежа се доставят само строителни продукти, които притежават подходящи характеристики за вграждане, монтиране, поставяне или инсталиране в сградите и само такива, които са заложени в проектите на сградите със съответните им технически характеристики, съответстващи  на техническите правила, норми и нормативи, определени със съответните нормативни актове за проектиране и строителство.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shd w:val="clear" w:color="auto" w:fill="FEFEFE"/>
        </w:rPr>
      </w:pP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>Всяка доставка се контролира от консултантът, упражняващ строителен надзор на строежа.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  <w:shd w:val="clear" w:color="auto" w:fill="FEFEFE"/>
        </w:rPr>
      </w:pP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 xml:space="preserve">Доставка на оборудване, </w:t>
      </w:r>
      <w:proofErr w:type="spellStart"/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>потребяващо</w:t>
      </w:r>
      <w:proofErr w:type="spellEnd"/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 xml:space="preserve"> енергия, свързано с изпълнение на </w:t>
      </w:r>
      <w:proofErr w:type="spellStart"/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>енергоспестяващи</w:t>
      </w:r>
      <w:proofErr w:type="spellEnd"/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 xml:space="preserve"> мерки в сградите трябва да бъде придружено с документи, изискващи се от </w:t>
      </w:r>
      <w:r w:rsidRPr="00DB01A8">
        <w:rPr>
          <w:rFonts w:asciiTheme="majorHAnsi" w:hAnsiTheme="majorHAnsi" w:cs="Arial"/>
          <w:i/>
          <w:iCs/>
          <w:sz w:val="24"/>
          <w:szCs w:val="24"/>
          <w:shd w:val="clear" w:color="auto" w:fill="FEFEFE"/>
        </w:rPr>
        <w:t>Наредба на МС за изискванията за етикетиране и предоставяне на стандартна информация за продукти, свързани с енергопотреблението, по отношение на консумацията на енергия и на други ресурси</w:t>
      </w:r>
      <w:r w:rsidRPr="00DB01A8">
        <w:rPr>
          <w:rFonts w:asciiTheme="majorHAnsi" w:hAnsiTheme="majorHAnsi" w:cs="Arial"/>
          <w:sz w:val="24"/>
          <w:szCs w:val="24"/>
          <w:shd w:val="clear" w:color="auto" w:fill="FEFEFE"/>
        </w:rPr>
        <w:t xml:space="preserve">. </w:t>
      </w:r>
    </w:p>
    <w:p w:rsidR="00220CC4" w:rsidRPr="00DB01A8" w:rsidRDefault="00220CC4" w:rsidP="00F678D6">
      <w:pPr>
        <w:pStyle w:val="ae"/>
        <w:numPr>
          <w:ilvl w:val="0"/>
          <w:numId w:val="12"/>
        </w:numPr>
        <w:tabs>
          <w:tab w:val="left" w:pos="1134"/>
        </w:tabs>
        <w:spacing w:after="120" w:line="276" w:lineRule="auto"/>
        <w:ind w:left="0" w:right="20" w:firstLine="709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lastRenderedPageBreak/>
        <w:t xml:space="preserve">Специфични технически изисквания към </w:t>
      </w:r>
      <w:proofErr w:type="spellStart"/>
      <w:r w:rsidRPr="00DB01A8">
        <w:rPr>
          <w:rFonts w:asciiTheme="majorHAnsi" w:hAnsiTheme="majorHAnsi" w:cs="Arial"/>
          <w:b/>
          <w:bCs/>
          <w:sz w:val="24"/>
          <w:szCs w:val="24"/>
        </w:rPr>
        <w:t>топлофизичните</w:t>
      </w:r>
      <w:proofErr w:type="spellEnd"/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характеристики на строителните продукти за постигане на </w:t>
      </w:r>
      <w:proofErr w:type="spellStart"/>
      <w:r w:rsidRPr="00DB01A8">
        <w:rPr>
          <w:rFonts w:asciiTheme="majorHAnsi" w:hAnsiTheme="majorHAnsi" w:cs="Arial"/>
          <w:b/>
          <w:bCs/>
          <w:sz w:val="24"/>
          <w:szCs w:val="24"/>
        </w:rPr>
        <w:t>енергоспестяващия</w:t>
      </w:r>
      <w:proofErr w:type="spellEnd"/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ефект в сградите.</w:t>
      </w:r>
    </w:p>
    <w:p w:rsidR="00220CC4" w:rsidRPr="00DB01A8" w:rsidRDefault="00220CC4" w:rsidP="00F678D6">
      <w:pPr>
        <w:spacing w:after="120" w:line="276" w:lineRule="auto"/>
        <w:ind w:left="20" w:right="20" w:firstLine="720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За намаляване на разхода на енергия и подобряване на енергийните характеристики на съответната сграда по националната програма, следва да се предвиждат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топлоизолационни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продукти, чиито технически характеристики съответстват на нормативните изисквания за енергийна ефективност в сградите. Връзката между изискването за икономия на енергия и съответните продуктови области, повлияни от това изискване е направена в табл. 1:</w:t>
      </w:r>
    </w:p>
    <w:tbl>
      <w:tblPr>
        <w:tblpPr w:leftFromText="141" w:rightFromText="141" w:vertAnchor="text" w:horzAnchor="margin" w:tblpY="268"/>
        <w:tblW w:w="5000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45"/>
        <w:gridCol w:w="327"/>
        <w:gridCol w:w="3145"/>
        <w:gridCol w:w="5071"/>
      </w:tblGrid>
      <w:tr w:rsidR="00220CC4" w:rsidRPr="00DB01A8">
        <w:trPr>
          <w:trHeight w:val="547"/>
          <w:tblCellSpacing w:w="28" w:type="dxa"/>
        </w:trPr>
        <w:tc>
          <w:tcPr>
            <w:tcW w:w="579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Таблица 1</w:t>
            </w:r>
          </w:p>
        </w:tc>
        <w:tc>
          <w:tcPr>
            <w:tcW w:w="4335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ind w:left="57" w:right="28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Съответствие на продуктовите области с показателите за разход на енергия, регламентирани в националното законодателство по енергийна ефективност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943" w:type="pct"/>
            <w:gridSpan w:val="4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А. Продуктови области, които са обхванати от Регламент (ЕС) № 305/2011 г.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Код на област*</w:t>
            </w:r>
          </w:p>
        </w:tc>
        <w:tc>
          <w:tcPr>
            <w:tcW w:w="1833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Продуктова област</w:t>
            </w:r>
          </w:p>
        </w:tc>
        <w:tc>
          <w:tcPr>
            <w:tcW w:w="2634" w:type="pct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Връзка с показатели за разход на енергия от наредбата за енергийните характеристики на сградите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Врати, прозорци, капаци, врати за промишлени и търговски сгради и за гаражи и свързаният с тях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обков</w:t>
            </w:r>
            <w:proofErr w:type="spellEnd"/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прозорците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инфилтрация на външен въздух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Дървесни плочи (панели) и елементи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22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Покривни покрития, горно осветление, покривни прозорци и спомагателни продукти, покривни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комплекти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коефициент на топлопреминаване през прозорците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K);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коефициент на топлопреминаване през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покрива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инфилтрация на външен въздух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Строителни лепила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топлопреминаване през външните стени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топлинни загуби от топлопреминаване към околната среда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Устройства за отопление  (отоплителни тела от всякакъв тип като елементи от система)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- коефициент на полезно действие на преноса на топлина от източника до отоплявания и/ или охлаждания обем на сградата (%);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- коефициент на полезно действие на генератора на топлина и/ или студ (%);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Строителни комплекти, компоненти, предварително изготвени елементи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 m2);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943" w:type="pct"/>
            <w:gridSpan w:val="4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Б.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Продуктови области, които не са обхванати от Регламент (ЕС) № 305/2011 – продукти, </w:t>
            </w:r>
            <w:proofErr w:type="spellStart"/>
            <w:r w:rsidRPr="00DB01A8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потребяващи</w:t>
            </w:r>
            <w:proofErr w:type="spellEnd"/>
            <w:r w:rsidRPr="00DB01A8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енергия, за които в делегирани регламенти на Европейската комисия са определени изисквания във връзка с изпълнението на Директива 2010/30/ЕС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Лампи за осветление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общи специфични топлинни загуби/ притоци (W/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3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Автономни климатизатори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коефициент на трансформация на генератора на топлина и/ или студ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отопление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охлаждане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Водогрейни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котли за отопление и БГВ (вкл. изгарящи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пелети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и дърва)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отопление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);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Слънчеви колектори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топлинна мощност на системата за гореща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вода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Абонатни станции (комплекти)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отопление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топлинна мощност на системата за БГВ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Водоохлаждащи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агрегати и въздухоохладители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Термопомпи (комплекти)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 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419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1833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Рекуператори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на топлина</w:t>
            </w:r>
          </w:p>
        </w:tc>
        <w:tc>
          <w:tcPr>
            <w:tcW w:w="2634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общ годишен специфичен разход на енергия за отопление, охлаждане, вентилация, гореща вода, осветление и уреди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kWh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</w:tbl>
    <w:p w:rsidR="00220CC4" w:rsidRPr="00DB01A8" w:rsidRDefault="00220CC4" w:rsidP="00CB26FA">
      <w:pPr>
        <w:spacing w:after="120"/>
        <w:ind w:left="36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B01A8" w:rsidRDefault="00220CC4" w:rsidP="00CB26FA">
      <w:pPr>
        <w:spacing w:after="1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Продуктови области, обхванати от Регламент (ЕС) № 305/2011 г.</w:t>
      </w:r>
    </w:p>
    <w:tbl>
      <w:tblPr>
        <w:tblpPr w:leftFromText="141" w:rightFromText="141" w:vertAnchor="text" w:horzAnchor="margin" w:tblpY="268"/>
        <w:tblW w:w="5236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8"/>
        <w:gridCol w:w="915"/>
        <w:gridCol w:w="1376"/>
        <w:gridCol w:w="2217"/>
        <w:gridCol w:w="4890"/>
      </w:tblGrid>
      <w:tr w:rsidR="00220CC4" w:rsidRPr="00DB01A8">
        <w:trPr>
          <w:trHeight w:val="547"/>
          <w:tblCellSpacing w:w="28" w:type="dxa"/>
        </w:trPr>
        <w:tc>
          <w:tcPr>
            <w:tcW w:w="763" w:type="pct"/>
            <w:gridSpan w:val="2"/>
            <w:shd w:val="clear" w:color="auto" w:fill="92D050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Таблица 2</w:t>
            </w:r>
          </w:p>
        </w:tc>
        <w:tc>
          <w:tcPr>
            <w:tcW w:w="4153" w:type="pct"/>
            <w:gridSpan w:val="3"/>
            <w:shd w:val="clear" w:color="auto" w:fill="92D050"/>
          </w:tcPr>
          <w:p w:rsidR="00220CC4" w:rsidRPr="00DB01A8" w:rsidRDefault="00220CC4" w:rsidP="006C627E">
            <w:pPr>
              <w:spacing w:after="120"/>
              <w:ind w:left="57" w:right="28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Технически спецификации в конкретната продуктова област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o</w:t>
            </w:r>
            <w:proofErr w:type="spellEnd"/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Продуктова област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Продукти</w:t>
            </w:r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Стандарти в конкретната тематична област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Врати, прозорци, капаци, врати за промишлени и търговски сгради и за гаражи и свързаният с тях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обков</w:t>
            </w:r>
            <w:proofErr w:type="spellEnd"/>
          </w:p>
        </w:tc>
        <w:tc>
          <w:tcPr>
            <w:tcW w:w="670" w:type="pct"/>
          </w:tcPr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6" w:name="_Toc409108753"/>
            <w:bookmarkStart w:id="7" w:name="_Toc409109030"/>
            <w:r w:rsidRPr="00DB01A8">
              <w:rPr>
                <w:rFonts w:asciiTheme="majorHAnsi" w:hAnsiTheme="majorHAnsi" w:cs="Arial"/>
                <w:sz w:val="24"/>
                <w:szCs w:val="24"/>
              </w:rPr>
              <w:t>Сглобяеми</w:t>
            </w:r>
            <w:bookmarkEnd w:id="6"/>
            <w:bookmarkEnd w:id="7"/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8" w:name="_Toc409108754"/>
            <w:bookmarkStart w:id="9" w:name="_Toc409109031"/>
            <w:r w:rsidRPr="00DB01A8">
              <w:rPr>
                <w:rFonts w:asciiTheme="majorHAnsi" w:hAnsiTheme="majorHAnsi" w:cs="Arial"/>
                <w:sz w:val="24"/>
                <w:szCs w:val="24"/>
              </w:rPr>
              <w:t>готови за</w:t>
            </w:r>
            <w:bookmarkEnd w:id="8"/>
            <w:bookmarkEnd w:id="9"/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0" w:name="_Toc409108755"/>
            <w:bookmarkStart w:id="11" w:name="_Toc409109032"/>
            <w:r w:rsidRPr="00DB01A8">
              <w:rPr>
                <w:rFonts w:asciiTheme="majorHAnsi" w:hAnsiTheme="majorHAnsi" w:cs="Arial"/>
                <w:sz w:val="24"/>
                <w:szCs w:val="24"/>
              </w:rPr>
              <w:t>монтаж</w:t>
            </w:r>
            <w:bookmarkEnd w:id="10"/>
            <w:bookmarkEnd w:id="11"/>
          </w:p>
          <w:p w:rsidR="00220CC4" w:rsidRPr="00DB01A8" w:rsidRDefault="00220CC4" w:rsidP="006C627E">
            <w:pPr>
              <w:keepNext/>
              <w:tabs>
                <w:tab w:val="left" w:pos="2988"/>
              </w:tabs>
              <w:spacing w:after="120"/>
              <w:ind w:right="-8"/>
              <w:jc w:val="center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2" w:name="_Toc409108756"/>
            <w:bookmarkStart w:id="13" w:name="_Toc409109033"/>
            <w:r w:rsidRPr="00DB01A8">
              <w:rPr>
                <w:rFonts w:asciiTheme="majorHAnsi" w:hAnsiTheme="majorHAnsi" w:cs="Arial"/>
                <w:sz w:val="24"/>
                <w:szCs w:val="24"/>
              </w:rPr>
              <w:t>елементи</w:t>
            </w:r>
            <w:bookmarkEnd w:id="12"/>
            <w:bookmarkEnd w:id="13"/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4" w:name="_Toc409108757"/>
            <w:bookmarkStart w:id="15" w:name="_Toc409109034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13241-1:2003+A1 - Врати за промишлени и търговски сгради и за гаражи</w:t>
            </w:r>
            <w:bookmarkEnd w:id="14"/>
            <w:bookmarkEnd w:id="15"/>
          </w:p>
          <w:p w:rsidR="00220CC4" w:rsidRPr="00DB01A8" w:rsidRDefault="00220CC4" w:rsidP="006C627E">
            <w:pPr>
              <w:spacing w:after="120"/>
              <w:ind w:left="-2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стандарт за продукт 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6" w:name="_Toc409108758"/>
            <w:bookmarkStart w:id="17" w:name="_Toc409109035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14351-1/NА - Врати и прозорци</w:t>
            </w:r>
            <w:bookmarkEnd w:id="16"/>
            <w:bookmarkEnd w:id="17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стандарт за продукт, технически характеристики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Част 1: Прозорци и външни врати без характеристики за устойчивост на огън и/или пропускане на дим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18" w:name="_Toc409108759"/>
            <w:bookmarkStart w:id="19" w:name="_Toc409109036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ISO 18292 - Енергийни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характеристики на остъклени системи за жилищни сгради</w:t>
            </w:r>
            <w:bookmarkEnd w:id="18"/>
            <w:bookmarkEnd w:id="19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Продукти за топлоизолация. Комбинирани изолационни комплекти/системи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Полистирени</w:t>
            </w:r>
            <w:proofErr w:type="spellEnd"/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Вати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Дървесни 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Влакна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Минерални</w:t>
            </w:r>
          </w:p>
          <w:p w:rsidR="00220CC4" w:rsidRPr="00DB01A8" w:rsidRDefault="00220CC4" w:rsidP="006C627E">
            <w:pPr>
              <w:spacing w:after="120"/>
              <w:ind w:right="33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плочи</w:t>
            </w:r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ind w:right="3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13163 -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 продукти от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експандиран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полистирен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(EPS), произведени в заводски условия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13164 -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 </w:t>
            </w:r>
            <w:r w:rsidRPr="00DB01A8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продукти от екструдиран полистирен (XPS), произведени в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заводски условия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 13166 -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 продукти от твърд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пенофенопласт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(PF), произведени в заводски условия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0" w:name="_Toc409108760"/>
            <w:bookmarkStart w:id="21" w:name="_Toc409109037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13167 -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 продукти от пеностъкло (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cg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), произведени в заводски условия</w:t>
            </w:r>
            <w:bookmarkEnd w:id="20"/>
            <w:bookmarkEnd w:id="21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2" w:name="_Toc409108761"/>
            <w:bookmarkStart w:id="23" w:name="_Toc409109038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13168 –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на сгради Продукти от дървесна вата (WW) произведени в заводски условия</w:t>
            </w:r>
            <w:bookmarkEnd w:id="22"/>
            <w:bookmarkEnd w:id="23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4" w:name="_Toc409108762"/>
            <w:bookmarkStart w:id="25" w:name="_Toc409109039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13169 -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 продукти от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експандиран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перлит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(EPB), произведени в заводски условия</w:t>
            </w:r>
            <w:bookmarkEnd w:id="24"/>
            <w:bookmarkEnd w:id="25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26" w:name="_Toc409108763"/>
            <w:bookmarkStart w:id="27" w:name="_Toc409109040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EN 13170 -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 продукти от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експандиран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корк (ICB), произведени в заводски условия</w:t>
            </w:r>
            <w:bookmarkEnd w:id="26"/>
            <w:bookmarkEnd w:id="27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28" w:name="_Toc409108764"/>
            <w:bookmarkStart w:id="29" w:name="_Toc409109041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EN 13171 -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 продукти от дървесни влакна (WF), произведени в заводски условия</w:t>
            </w:r>
            <w:bookmarkEnd w:id="28"/>
            <w:bookmarkEnd w:id="29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30" w:name="_Toc409108765"/>
            <w:bookmarkStart w:id="31" w:name="_Toc409109042"/>
            <w:r w:rsidRPr="00DB01A8">
              <w:rPr>
                <w:rFonts w:asciiTheme="majorHAnsi" w:hAnsiTheme="majorHAnsi" w:cs="Arial"/>
                <w:sz w:val="24"/>
                <w:szCs w:val="24"/>
              </w:rPr>
              <w:t>БДС</w:t>
            </w:r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EN 13162 -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продукти за сгради. продукти от минерална вата (MW), произведени в заводски условия.</w:t>
            </w:r>
            <w:bookmarkEnd w:id="30"/>
            <w:bookmarkEnd w:id="31"/>
            <w:r w:rsidRPr="00DB01A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32" w:name="_Toc409108766"/>
            <w:bookmarkStart w:id="33" w:name="_Toc409109043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ISO 13788 -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Хигротермални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характеристики на строителни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компоненти и строителни елементи. Температура на вътрешната повърхност за предотвратяване на критична влажност на повърхността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конденз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в пукнатини. Изчислителни методи (ISO/DIS 13788-2011)</w:t>
            </w:r>
            <w:bookmarkEnd w:id="32"/>
            <w:bookmarkEnd w:id="33"/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34" w:name="_Toc409108767"/>
            <w:bookmarkStart w:id="35" w:name="_Toc409109044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ISO 14683 – Топлинни мостове в строителните конструкции. Коефициент на линейно топлопреминаване. Опростени методи 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ориентировъчни изчислителни стойности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ЕТО 05-093 Минерални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топлоизолационни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плочи</w:t>
            </w:r>
            <w:bookmarkEnd w:id="34"/>
            <w:bookmarkEnd w:id="35"/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Зидария и свързани с нея продукти. блокове за зидария, строителни разтвори, стенни връзки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Тухли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Камък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Газобетон</w:t>
            </w:r>
            <w:proofErr w:type="spellEnd"/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771-1 +А1 – Изисквания за блокове за зидария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771-1/NА - Изисквания за блокове за зидария Част 1: Глинени блокове за зидария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Национално приложение (NА)</w:t>
            </w:r>
          </w:p>
          <w:p w:rsidR="00220CC4" w:rsidRPr="00DB01A8" w:rsidRDefault="00220CC4" w:rsidP="006C627E">
            <w:pPr>
              <w:keepNext/>
              <w:spacing w:after="120"/>
              <w:ind w:right="33"/>
              <w:jc w:val="both"/>
              <w:outlineLvl w:val="3"/>
              <w:rPr>
                <w:rFonts w:asciiTheme="majorHAnsi" w:hAnsiTheme="majorHAnsi" w:cs="Arial"/>
                <w:sz w:val="24"/>
                <w:szCs w:val="24"/>
              </w:rPr>
            </w:pPr>
            <w:bookmarkStart w:id="36" w:name="_Toc409108768"/>
            <w:bookmarkStart w:id="37" w:name="_Toc409109045"/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771-2 - Изисквания за блокове за зидария Част 2: Калциево-силикатни блокове за зидария</w:t>
            </w:r>
            <w:bookmarkEnd w:id="36"/>
            <w:bookmarkEnd w:id="37"/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771-2/NА - Изисквания за блокове за зидария Част 2: Калциево-силикатни блокове за зидария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771-4 +А1 - Изисквания за блокове за зидария Част 4: Блокове за зидария от автоклавен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газобетон</w:t>
            </w:r>
            <w:proofErr w:type="spellEnd"/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771-4/NА - Изисквания за блокове за зидария Част 4: Блокове за зидария от автоклавен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газобетон</w:t>
            </w:r>
            <w:proofErr w:type="spellEnd"/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771-5/NА - Изисквания за блокове за зидария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Част 5: Блокове за зидария от изкуствен камък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771-6/NА - Изисквания за блокове за зидария 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Част 6: Блокове за зидария от естествен камък</w:t>
            </w:r>
          </w:p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БДС EN 1745 – Зидария и продукти за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зидария Методи за определяне на изчислителни топлинни стойности</w:t>
            </w:r>
          </w:p>
        </w:tc>
      </w:tr>
      <w:tr w:rsidR="00220CC4" w:rsidRPr="00DB01A8">
        <w:trPr>
          <w:trHeight w:val="105"/>
          <w:tblCellSpacing w:w="28" w:type="dxa"/>
        </w:trPr>
        <w:tc>
          <w:tcPr>
            <w:tcW w:w="362" w:type="pct"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7" w:type="pct"/>
            <w:gridSpan w:val="2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Покривни покрития, горно осветление, покривни прозорци и спомагателни продукти, покривни комплекти</w:t>
            </w:r>
          </w:p>
        </w:tc>
        <w:tc>
          <w:tcPr>
            <w:tcW w:w="670" w:type="pct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Стъкло и 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Рамки от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PVC или 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Алуминий</w:t>
            </w:r>
          </w:p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или дърво</w:t>
            </w:r>
          </w:p>
        </w:tc>
        <w:tc>
          <w:tcPr>
            <w:tcW w:w="2811" w:type="pct"/>
            <w:vAlign w:val="center"/>
          </w:tcPr>
          <w:p w:rsidR="00220CC4" w:rsidRPr="00DB01A8" w:rsidRDefault="00220CC4" w:rsidP="006C627E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БДС EN 1304/NA - Глинени покривни керемиди и приспособления</w:t>
            </w:r>
          </w:p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20CC4" w:rsidRPr="00DB01A8" w:rsidRDefault="00220CC4" w:rsidP="00CB26FA">
      <w:pPr>
        <w:rPr>
          <w:rFonts w:asciiTheme="majorHAnsi" w:hAnsiTheme="majorHAnsi" w:cs="Arial"/>
          <w:vanish/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5020"/>
        <w:gridCol w:w="4290"/>
      </w:tblGrid>
      <w:tr w:rsidR="00220CC4" w:rsidRPr="00DB01A8">
        <w:trPr>
          <w:trHeight w:val="300"/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0CC4" w:rsidRPr="00DB01A8" w:rsidRDefault="00220CC4" w:rsidP="006C627E">
            <w:pPr>
              <w:spacing w:after="12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</w:p>
          <w:p w:rsidR="00220CC4" w:rsidRPr="00DB01A8" w:rsidRDefault="00220CC4" w:rsidP="006C627E">
            <w:pPr>
              <w:spacing w:after="120"/>
              <w:jc w:val="right"/>
              <w:rPr>
                <w:rFonts w:asciiTheme="majorHAnsi" w:hAnsiTheme="majorHAnsi" w:cs="Arial"/>
                <w:dstrike/>
                <w:sz w:val="24"/>
                <w:szCs w:val="24"/>
              </w:rPr>
            </w:pPr>
          </w:p>
        </w:tc>
      </w:tr>
      <w:tr w:rsidR="00220CC4" w:rsidRPr="00DB01A8">
        <w:trPr>
          <w:trHeight w:val="930"/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  <w:shd w:val="clear" w:color="auto" w:fill="FEFEFE"/>
              </w:rPr>
              <w:t xml:space="preserve">Референтни стойности на коефициента на топлопреминаване за целите на Националната програма през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  <w:shd w:val="clear" w:color="auto" w:fill="FEFEFE"/>
              </w:rPr>
              <w:t>сградните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  <w:shd w:val="clear" w:color="auto" w:fill="FEFEFE"/>
              </w:rPr>
              <w:t xml:space="preserve"> ограждащи конструкции и елементи на сгради, които се използват за сравнение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при изчисляване на годишния разход на енергия в жилищните сгради</w:t>
            </w:r>
          </w:p>
        </w:tc>
      </w:tr>
      <w:tr w:rsidR="00220CC4" w:rsidRPr="00DB01A8">
        <w:trPr>
          <w:trHeight w:val="390"/>
          <w:jc w:val="center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№ по ред</w:t>
            </w:r>
          </w:p>
        </w:tc>
        <w:tc>
          <w:tcPr>
            <w:tcW w:w="5020" w:type="dxa"/>
            <w:vMerge w:val="restart"/>
            <w:tcBorders>
              <w:top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Видове ограждащи конструкции и елементи </w:t>
            </w:r>
          </w:p>
        </w:tc>
        <w:tc>
          <w:tcPr>
            <w:tcW w:w="42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U, W/m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</w:t>
            </w:r>
          </w:p>
        </w:tc>
      </w:tr>
      <w:tr w:rsidR="00220CC4" w:rsidRPr="00DB01A8">
        <w:trPr>
          <w:trHeight w:val="1605"/>
          <w:jc w:val="center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за сгради със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среднообемна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вътрешна температура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br/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θ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i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≥ 15 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0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С</w:t>
            </w:r>
          </w:p>
        </w:tc>
      </w:tr>
      <w:tr w:rsidR="00220CC4" w:rsidRPr="00DB01A8">
        <w:trPr>
          <w:trHeight w:val="360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Външни стени, граничещи с външен въздух </w:t>
            </w:r>
          </w:p>
        </w:tc>
        <w:tc>
          <w:tcPr>
            <w:tcW w:w="4290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0,28</w:t>
            </w:r>
          </w:p>
        </w:tc>
      </w:tr>
      <w:tr w:rsidR="00220CC4" w:rsidRPr="00DB01A8">
        <w:trPr>
          <w:trHeight w:val="157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Стени на отопляемо пространство, граничещи с неотопляемо пространство, когато разликата между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среднообемната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температура на отопляемото и неотопляемото пространство е равна или по-голяма от 5 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0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С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0,50</w:t>
            </w:r>
          </w:p>
        </w:tc>
      </w:tr>
      <w:tr w:rsidR="00220CC4" w:rsidRPr="00DB01A8">
        <w:trPr>
          <w:trHeight w:val="61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Външни стени на отопляем подземен етаж, граничещи със земята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0,60</w:t>
            </w:r>
          </w:p>
        </w:tc>
      </w:tr>
      <w:tr w:rsidR="00220CC4" w:rsidRPr="00DB01A8">
        <w:trPr>
          <w:trHeight w:val="300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Подова плоча над неотопляем подземен етаж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0,50</w:t>
            </w:r>
          </w:p>
        </w:tc>
      </w:tr>
      <w:tr w:rsidR="00220CC4" w:rsidRPr="00DB01A8">
        <w:trPr>
          <w:trHeight w:val="61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Под на отопляемо пространство, директно граничещ със земята в сграда без подземен етаж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0,40</w:t>
            </w:r>
          </w:p>
        </w:tc>
      </w:tr>
      <w:tr w:rsidR="00220CC4" w:rsidRPr="00DB01A8">
        <w:trPr>
          <w:trHeight w:val="58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Под на отопляем подземен етаж, граничещ със земята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0,45</w:t>
            </w:r>
          </w:p>
        </w:tc>
      </w:tr>
      <w:tr w:rsidR="00220CC4" w:rsidRPr="00DB01A8">
        <w:trPr>
          <w:trHeight w:val="870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Под на отопляемо пространство, граничещо с външен въздух, под над проходи или над други открити пространства, еркери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0,25</w:t>
            </w:r>
          </w:p>
        </w:tc>
      </w:tr>
      <w:tr w:rsidR="00220CC4" w:rsidRPr="00DB01A8">
        <w:trPr>
          <w:trHeight w:val="945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Стена, таван или под, граничещи с външен въздух или със земята, при вградено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площно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отопление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0,40</w:t>
            </w:r>
          </w:p>
        </w:tc>
      </w:tr>
      <w:tr w:rsidR="00220CC4" w:rsidRPr="00DB01A8">
        <w:trPr>
          <w:trHeight w:val="1440"/>
          <w:jc w:val="center"/>
        </w:trPr>
        <w:tc>
          <w:tcPr>
            <w:tcW w:w="580" w:type="dxa"/>
            <w:tcBorders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5020" w:type="dxa"/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Плосък покрив без въздушен слой или с въздушен слой с дебелина δ ≤ 0,30 m; таван на наклонен или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скатен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покрив с отоплявано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подпокривно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пространство, предназначено за обитаване </w:t>
            </w:r>
          </w:p>
        </w:tc>
        <w:tc>
          <w:tcPr>
            <w:tcW w:w="4290" w:type="dxa"/>
            <w:tcBorders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0,25</w:t>
            </w:r>
          </w:p>
        </w:tc>
      </w:tr>
      <w:tr w:rsidR="00220CC4" w:rsidRPr="00DB01A8">
        <w:trPr>
          <w:trHeight w:val="1965"/>
          <w:jc w:val="center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5020" w:type="dxa"/>
            <w:tcBorders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Таванска плоча на неотопляем плосък покрив с въздушен слой с  дебелина 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br/>
              <w:t xml:space="preserve">δ &gt; 0,30 m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br/>
              <w:t>Таванска плоча на неотопляем, вентилиран или невентилиран наклонен/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скатен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покрив със или без вертикални ограждащи елементи в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подпокривното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пространство </w:t>
            </w:r>
          </w:p>
        </w:tc>
        <w:tc>
          <w:tcPr>
            <w:tcW w:w="4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0,30</w:t>
            </w:r>
          </w:p>
        </w:tc>
      </w:tr>
      <w:tr w:rsidR="00220CC4" w:rsidRPr="00DB01A8">
        <w:trPr>
          <w:trHeight w:val="555"/>
          <w:jc w:val="center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5020" w:type="dxa"/>
            <w:tcBorders>
              <w:top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Външна врата, плътна, граничеща с външен въздух</w:t>
            </w:r>
          </w:p>
        </w:tc>
        <w:tc>
          <w:tcPr>
            <w:tcW w:w="4290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2,2</w:t>
            </w:r>
          </w:p>
        </w:tc>
      </w:tr>
      <w:tr w:rsidR="00220CC4" w:rsidRPr="00DB01A8">
        <w:trPr>
          <w:trHeight w:val="540"/>
          <w:jc w:val="center"/>
        </w:trPr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5020" w:type="dxa"/>
            <w:tcBorders>
              <w:bottom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Врата, плътна, граничеща с неотопляемо пространство</w:t>
            </w:r>
          </w:p>
        </w:tc>
        <w:tc>
          <w:tcPr>
            <w:tcW w:w="4290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3,5</w:t>
            </w:r>
          </w:p>
        </w:tc>
      </w:tr>
    </w:tbl>
    <w:p w:rsidR="00220CC4" w:rsidRPr="00DB01A8" w:rsidRDefault="00220CC4" w:rsidP="00CB26FA">
      <w:pPr>
        <w:spacing w:after="120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000"/>
      </w:tblPr>
      <w:tblGrid>
        <w:gridCol w:w="525"/>
        <w:gridCol w:w="6280"/>
        <w:gridCol w:w="2855"/>
      </w:tblGrid>
      <w:tr w:rsidR="00220CC4" w:rsidRPr="00DB01A8">
        <w:trPr>
          <w:trHeight w:val="315"/>
          <w:jc w:val="center"/>
        </w:trPr>
        <w:tc>
          <w:tcPr>
            <w:tcW w:w="96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220CC4" w:rsidRPr="00DB01A8" w:rsidRDefault="00220CC4" w:rsidP="006C627E">
            <w:pPr>
              <w:spacing w:after="12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960"/>
          <w:jc w:val="center"/>
        </w:trPr>
        <w:tc>
          <w:tcPr>
            <w:tcW w:w="9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Референтни стойности на коефициента на топлопреминаване за целите на Националната програма през прозрачни ограждащи конструкции (прозорци и врати) за  жилищни и нежилищни сгради, които се използват за сравнение при изчисляване на годишния разход на енергия в сградите</w:t>
            </w:r>
          </w:p>
        </w:tc>
      </w:tr>
      <w:tr w:rsidR="00220CC4" w:rsidRPr="00DB01A8">
        <w:trPr>
          <w:trHeight w:val="1245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№ по ред</w:t>
            </w:r>
          </w:p>
        </w:tc>
        <w:tc>
          <w:tcPr>
            <w:tcW w:w="6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Вид на сглобения елемент - завършена прозоречна система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w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>, W/m</w:t>
            </w:r>
            <w:r w:rsidRPr="00DB01A8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2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t>K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Външни прозорци, остъклени врати и витрини с крила на вертикална и хоризонтална ос на въртене, с рамка от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екструдиран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поливинилхлорид (PVC) с три и повече кухи камери; покривни прозорци за всеки тип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отваряемост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 рамка от PVC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1,4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77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Външни прозорци, остъклени врати и витрини с крила на вертикална и хоризонтална ос на въртене, с рамка </w:t>
            </w: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от дърво/покривни прозорци за всеки тип </w:t>
            </w:r>
            <w:proofErr w:type="spellStart"/>
            <w:r w:rsidRPr="00DB01A8">
              <w:rPr>
                <w:rFonts w:asciiTheme="majorHAnsi" w:hAnsiTheme="majorHAnsi" w:cs="Arial"/>
                <w:sz w:val="24"/>
                <w:szCs w:val="24"/>
              </w:rPr>
              <w:t>отваряемост</w:t>
            </w:r>
            <w:proofErr w:type="spellEnd"/>
            <w:r w:rsidRPr="00DB01A8">
              <w:rPr>
                <w:rFonts w:asciiTheme="majorHAnsi" w:hAnsiTheme="majorHAnsi" w:cs="Arial"/>
                <w:sz w:val="24"/>
                <w:szCs w:val="24"/>
              </w:rPr>
              <w:t xml:space="preserve"> с рамка от дърво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lastRenderedPageBreak/>
              <w:t>1,6/1,8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401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70"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6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Външни прозорци, остъклени врати и витрини с крила на вертикална и хоризонтална ос на въртене, с рамка от алуминий с прекъснат топлинен мост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2,0</w:t>
            </w:r>
          </w:p>
        </w:tc>
      </w:tr>
      <w:tr w:rsidR="00220CC4" w:rsidRPr="00DB01A8">
        <w:trPr>
          <w:trHeight w:val="564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401"/>
          <w:jc w:val="center"/>
        </w:trPr>
        <w:tc>
          <w:tcPr>
            <w:tcW w:w="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CC4" w:rsidRPr="00DB01A8">
        <w:trPr>
          <w:trHeight w:val="57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6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Окачени фасади/окачени фасади с повишени изисквания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C4" w:rsidRPr="00DB01A8" w:rsidRDefault="00220CC4" w:rsidP="006C627E">
            <w:pPr>
              <w:spacing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B01A8">
              <w:rPr>
                <w:rFonts w:asciiTheme="majorHAnsi" w:hAnsiTheme="majorHAnsi" w:cs="Arial"/>
                <w:sz w:val="24"/>
                <w:szCs w:val="24"/>
              </w:rPr>
              <w:t>1,75/1,9</w:t>
            </w:r>
          </w:p>
        </w:tc>
      </w:tr>
    </w:tbl>
    <w:p w:rsidR="00220CC4" w:rsidRPr="00DB01A8" w:rsidRDefault="00220CC4" w:rsidP="00CB26FA">
      <w:pPr>
        <w:spacing w:after="120"/>
        <w:rPr>
          <w:rFonts w:asciiTheme="majorHAnsi" w:hAnsiTheme="majorHAnsi" w:cs="Arial"/>
          <w:b/>
          <w:bCs/>
          <w:sz w:val="24"/>
          <w:szCs w:val="24"/>
        </w:rPr>
      </w:pP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Дебелината на топлинната изолация от съответния вид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>е оразмерена</w:t>
      </w:r>
      <w:r w:rsidRPr="00DB01A8">
        <w:rPr>
          <w:rFonts w:asciiTheme="majorHAnsi" w:hAnsiTheme="majorHAnsi" w:cs="Arial"/>
          <w:sz w:val="24"/>
          <w:szCs w:val="24"/>
        </w:rPr>
        <w:t xml:space="preserve"> в работния проект на сграда в част „Енергийна ефективност“ и е съобразена с техническите параметри, заложени за съответната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енергоспестяваща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мярка в енергийното обследване. 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Посочените по-горе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топлоизолационни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продукти и техническите им характеристики са препоръчителни и не изчерпват приложението на други продукти, които отговарят на приложимите нормативни изисквания и стандарти и имат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енергоспестяващ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ефект.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Изчисленията, направени в част „Енергийна ефективност“ на инвестиционния проект са задължителни за спазване от строителя при изготвяне на офертата за изпълнение на топлинна изолация на сградата. Изпълнението на архитектурно-строителните детайли, разработени в част „Архитектурна” са също задължителни за строителя, като корекции на архитектурно – строителните детайли се извършват съгласно предвидения законов ред. </w:t>
      </w:r>
    </w:p>
    <w:p w:rsidR="00220CC4" w:rsidRPr="00DB01A8" w:rsidRDefault="00220CC4" w:rsidP="006E2066">
      <w:pPr>
        <w:pStyle w:val="af"/>
        <w:jc w:val="both"/>
        <w:rPr>
          <w:rFonts w:asciiTheme="majorHAnsi" w:hAnsiTheme="majorHAnsi" w:cs="Cambria"/>
          <w:b w:val="0"/>
          <w:bCs w:val="0"/>
          <w:caps/>
          <w:sz w:val="24"/>
          <w:szCs w:val="24"/>
        </w:rPr>
      </w:pPr>
      <w:r w:rsidRPr="00DB01A8">
        <w:rPr>
          <w:rFonts w:asciiTheme="majorHAnsi" w:hAnsiTheme="majorHAnsi" w:cs="Arial"/>
          <w:b w:val="0"/>
          <w:bCs w:val="0"/>
          <w:sz w:val="24"/>
          <w:szCs w:val="24"/>
        </w:rPr>
        <w:t xml:space="preserve">Коефициентите но топлопреминаване през външните ограждащи елементи на сградата, които трябва да се постигнат с полагане на </w:t>
      </w:r>
      <w:proofErr w:type="spellStart"/>
      <w:r w:rsidRPr="00DB01A8">
        <w:rPr>
          <w:rFonts w:asciiTheme="majorHAnsi" w:hAnsiTheme="majorHAnsi" w:cs="Arial"/>
          <w:b w:val="0"/>
          <w:bCs w:val="0"/>
          <w:sz w:val="24"/>
          <w:szCs w:val="24"/>
        </w:rPr>
        <w:t>топлоизолационна</w:t>
      </w:r>
      <w:proofErr w:type="spellEnd"/>
      <w:r w:rsidRPr="00DB01A8">
        <w:rPr>
          <w:rFonts w:asciiTheme="majorHAnsi" w:hAnsiTheme="majorHAnsi" w:cs="Arial"/>
          <w:b w:val="0"/>
          <w:bCs w:val="0"/>
          <w:sz w:val="24"/>
          <w:szCs w:val="24"/>
        </w:rPr>
        <w:t xml:space="preserve"> система за съответното предназначение в сградата, са съгласно изготвения инвестиционен проект в част</w:t>
      </w:r>
      <w:r w:rsidRPr="00DB01A8">
        <w:rPr>
          <w:rFonts w:asciiTheme="majorHAnsi" w:hAnsiTheme="majorHAnsi" w:cs="Cambria"/>
          <w:b w:val="0"/>
          <w:bCs w:val="0"/>
          <w:sz w:val="24"/>
          <w:szCs w:val="24"/>
        </w:rPr>
        <w:t xml:space="preserve">: </w:t>
      </w:r>
      <w:r w:rsidRPr="00DB01A8">
        <w:rPr>
          <w:rFonts w:asciiTheme="majorHAnsi" w:hAnsiTheme="majorHAnsi" w:cs="Arial"/>
          <w:b w:val="0"/>
          <w:bCs w:val="0"/>
          <w:sz w:val="24"/>
          <w:szCs w:val="24"/>
        </w:rPr>
        <w:t>Енергийна Ефективност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 </w:t>
      </w:r>
    </w:p>
    <w:p w:rsidR="00220CC4" w:rsidRPr="00DB01A8" w:rsidRDefault="00220CC4" w:rsidP="006E2066">
      <w:pPr>
        <w:pStyle w:val="ae"/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Технически изисквания към хидроизолации и </w:t>
      </w:r>
      <w:proofErr w:type="spellStart"/>
      <w:r w:rsidRPr="00DB01A8">
        <w:rPr>
          <w:rFonts w:asciiTheme="majorHAnsi" w:hAnsiTheme="majorHAnsi" w:cs="Arial"/>
          <w:b/>
          <w:bCs/>
          <w:sz w:val="24"/>
          <w:szCs w:val="24"/>
        </w:rPr>
        <w:t>хидроизолационни</w:t>
      </w:r>
      <w:proofErr w:type="spellEnd"/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системи 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Проектните решения на хидроизолациите и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хидроизолационните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системи на сгради са представени в част Архитектурна на инвестиционния проект.</w:t>
      </w:r>
    </w:p>
    <w:p w:rsidR="00220CC4" w:rsidRPr="00DB01A8" w:rsidRDefault="00220CC4" w:rsidP="006E2066">
      <w:pPr>
        <w:pStyle w:val="ae"/>
        <w:numPr>
          <w:ilvl w:val="0"/>
          <w:numId w:val="12"/>
        </w:numPr>
        <w:spacing w:after="120" w:line="276" w:lineRule="auto"/>
        <w:ind w:left="0"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Технически изисквания към доставени на строежа комплекти от сглобени прозорци и врати, които ще се монтират върху фасадите на сградите.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В съответствие с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t xml:space="preserve">Наредба № 7 за енергийна ефективност, </w:t>
      </w:r>
      <w:proofErr w:type="spellStart"/>
      <w:r w:rsidRPr="00DB01A8">
        <w:rPr>
          <w:rFonts w:asciiTheme="majorHAnsi" w:hAnsiTheme="majorHAnsi" w:cs="Arial"/>
          <w:i/>
          <w:iCs/>
          <w:sz w:val="24"/>
          <w:szCs w:val="24"/>
        </w:rPr>
        <w:t>топлосъхранение</w:t>
      </w:r>
      <w:proofErr w:type="spellEnd"/>
      <w:r w:rsidRPr="00DB01A8">
        <w:rPr>
          <w:rFonts w:asciiTheme="majorHAnsi" w:hAnsiTheme="majorHAnsi" w:cs="Arial"/>
          <w:i/>
          <w:iCs/>
          <w:sz w:val="24"/>
          <w:szCs w:val="24"/>
        </w:rPr>
        <w:t xml:space="preserve"> и </w:t>
      </w:r>
      <w:r w:rsidRPr="00DB01A8">
        <w:rPr>
          <w:rFonts w:asciiTheme="majorHAnsi" w:hAnsiTheme="majorHAnsi" w:cs="Arial"/>
          <w:i/>
          <w:iCs/>
          <w:sz w:val="24"/>
          <w:szCs w:val="24"/>
        </w:rPr>
        <w:lastRenderedPageBreak/>
        <w:t>икономия на енергия в сгради</w:t>
      </w:r>
      <w:r w:rsidRPr="00DB01A8">
        <w:rPr>
          <w:rFonts w:asciiTheme="majorHAnsi" w:hAnsiTheme="majorHAnsi" w:cs="Arial"/>
          <w:sz w:val="24"/>
          <w:szCs w:val="24"/>
        </w:rPr>
        <w:t>,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14351-1:2006 и БДС  EN ISO 10077-1:2006, която съдържа най-малко следната информация за: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коефициента на топлопреминаване на сглобения образец (</w:t>
      </w:r>
      <w:proofErr w:type="spellStart"/>
      <w:r w:rsidRPr="00DB01A8">
        <w:rPr>
          <w:rFonts w:asciiTheme="majorHAnsi" w:hAnsiTheme="majorHAnsi"/>
          <w:sz w:val="24"/>
          <w:szCs w:val="24"/>
        </w:rPr>
        <w:t>Uw</w:t>
      </w:r>
      <w:proofErr w:type="spellEnd"/>
      <w:r w:rsidRPr="00DB01A8">
        <w:rPr>
          <w:rFonts w:asciiTheme="majorHAnsi" w:hAnsiTheme="majorHAnsi"/>
          <w:sz w:val="24"/>
          <w:szCs w:val="24"/>
        </w:rPr>
        <w:t>) в W/m</w:t>
      </w:r>
      <w:r w:rsidRPr="00DB01A8">
        <w:rPr>
          <w:rFonts w:asciiTheme="majorHAnsi" w:hAnsiTheme="majorHAnsi"/>
          <w:sz w:val="24"/>
          <w:szCs w:val="24"/>
          <w:vertAlign w:val="superscript"/>
        </w:rPr>
        <w:t>2</w:t>
      </w:r>
      <w:r w:rsidRPr="00DB01A8">
        <w:rPr>
          <w:rFonts w:asciiTheme="majorHAnsi" w:hAnsiTheme="majorHAnsi"/>
          <w:sz w:val="24"/>
          <w:szCs w:val="24"/>
        </w:rPr>
        <w:t>K;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коефициента на топлопреминаване на остъкляването (</w:t>
      </w:r>
      <w:proofErr w:type="spellStart"/>
      <w:r w:rsidRPr="00DB01A8">
        <w:rPr>
          <w:rFonts w:asciiTheme="majorHAnsi" w:hAnsiTheme="majorHAnsi"/>
          <w:sz w:val="24"/>
          <w:szCs w:val="24"/>
        </w:rPr>
        <w:t>Ug</w:t>
      </w:r>
      <w:proofErr w:type="spellEnd"/>
      <w:r w:rsidRPr="00DB01A8">
        <w:rPr>
          <w:rFonts w:asciiTheme="majorHAnsi" w:hAnsiTheme="majorHAnsi"/>
          <w:sz w:val="24"/>
          <w:szCs w:val="24"/>
        </w:rPr>
        <w:t>) в W/m</w:t>
      </w:r>
      <w:r w:rsidRPr="00DB01A8">
        <w:rPr>
          <w:rFonts w:asciiTheme="majorHAnsi" w:hAnsiTheme="majorHAnsi"/>
          <w:sz w:val="24"/>
          <w:szCs w:val="24"/>
          <w:vertAlign w:val="superscript"/>
        </w:rPr>
        <w:t>2</w:t>
      </w:r>
      <w:r w:rsidRPr="00DB01A8">
        <w:rPr>
          <w:rFonts w:asciiTheme="majorHAnsi" w:hAnsiTheme="majorHAnsi"/>
          <w:sz w:val="24"/>
          <w:szCs w:val="24"/>
        </w:rPr>
        <w:t>K;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коефициента на топлопреминаване на рамката (</w:t>
      </w:r>
      <w:proofErr w:type="spellStart"/>
      <w:r w:rsidRPr="00DB01A8">
        <w:rPr>
          <w:rFonts w:asciiTheme="majorHAnsi" w:hAnsiTheme="majorHAnsi"/>
          <w:sz w:val="24"/>
          <w:szCs w:val="24"/>
        </w:rPr>
        <w:t>Uf</w:t>
      </w:r>
      <w:proofErr w:type="spellEnd"/>
      <w:r w:rsidRPr="00DB01A8">
        <w:rPr>
          <w:rFonts w:asciiTheme="majorHAnsi" w:hAnsiTheme="majorHAnsi"/>
          <w:sz w:val="24"/>
          <w:szCs w:val="24"/>
        </w:rPr>
        <w:t>) в W/m</w:t>
      </w:r>
      <w:r w:rsidRPr="00DB01A8">
        <w:rPr>
          <w:rFonts w:asciiTheme="majorHAnsi" w:hAnsiTheme="majorHAnsi"/>
          <w:sz w:val="24"/>
          <w:szCs w:val="24"/>
          <w:vertAlign w:val="superscript"/>
        </w:rPr>
        <w:t>2</w:t>
      </w:r>
      <w:r w:rsidRPr="00DB01A8">
        <w:rPr>
          <w:rFonts w:asciiTheme="majorHAnsi" w:hAnsiTheme="majorHAnsi"/>
          <w:sz w:val="24"/>
          <w:szCs w:val="24"/>
        </w:rPr>
        <w:t>K;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коефициента на </w:t>
      </w:r>
      <w:proofErr w:type="spellStart"/>
      <w:r w:rsidRPr="00DB01A8">
        <w:rPr>
          <w:rFonts w:asciiTheme="majorHAnsi" w:hAnsiTheme="majorHAnsi"/>
          <w:sz w:val="24"/>
          <w:szCs w:val="24"/>
        </w:rPr>
        <w:t>енергопреминаване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на остъкляването (g);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 xml:space="preserve">радиационните характеристики - степен на </w:t>
      </w:r>
      <w:proofErr w:type="spellStart"/>
      <w:r w:rsidRPr="00DB01A8">
        <w:rPr>
          <w:rFonts w:asciiTheme="majorHAnsi" w:hAnsiTheme="majorHAnsi"/>
          <w:sz w:val="24"/>
          <w:szCs w:val="24"/>
        </w:rPr>
        <w:t>светлопропускливост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и спектрална характеристика;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DB01A8">
        <w:rPr>
          <w:rFonts w:asciiTheme="majorHAnsi" w:hAnsiTheme="majorHAnsi"/>
          <w:sz w:val="24"/>
          <w:szCs w:val="24"/>
        </w:rPr>
        <w:t>въздухопропускливостта</w:t>
      </w:r>
      <w:proofErr w:type="spellEnd"/>
      <w:r w:rsidRPr="00DB01A8">
        <w:rPr>
          <w:rFonts w:asciiTheme="majorHAnsi" w:hAnsiTheme="majorHAnsi"/>
          <w:sz w:val="24"/>
          <w:szCs w:val="24"/>
        </w:rPr>
        <w:t xml:space="preserve"> на образеца;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DB01A8">
        <w:rPr>
          <w:rFonts w:asciiTheme="majorHAnsi" w:hAnsiTheme="majorHAnsi"/>
          <w:sz w:val="24"/>
          <w:szCs w:val="24"/>
        </w:rPr>
        <w:t>водонепропускливостта</w:t>
      </w:r>
      <w:proofErr w:type="spellEnd"/>
      <w:r w:rsidRPr="00DB01A8">
        <w:rPr>
          <w:rFonts w:asciiTheme="majorHAnsi" w:hAnsiTheme="majorHAnsi"/>
          <w:sz w:val="24"/>
          <w:szCs w:val="24"/>
        </w:rPr>
        <w:t>;</w:t>
      </w:r>
    </w:p>
    <w:p w:rsidR="00220CC4" w:rsidRPr="00DB01A8" w:rsidRDefault="00220CC4" w:rsidP="006E206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DB01A8">
        <w:rPr>
          <w:rFonts w:asciiTheme="majorHAnsi" w:hAnsiTheme="majorHAnsi"/>
          <w:sz w:val="24"/>
          <w:szCs w:val="24"/>
        </w:rPr>
        <w:t>защитата от шум.</w:t>
      </w:r>
    </w:p>
    <w:p w:rsidR="00220CC4" w:rsidRPr="00DB01A8" w:rsidRDefault="00220CC4" w:rsidP="006E2066">
      <w:pPr>
        <w:pStyle w:val="ae"/>
        <w:numPr>
          <w:ilvl w:val="0"/>
          <w:numId w:val="7"/>
        </w:numPr>
        <w:spacing w:after="120" w:line="276" w:lineRule="auto"/>
        <w:ind w:left="0" w:firstLine="567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Технически изисквания към някои доставени на строежа продукти, </w:t>
      </w:r>
      <w:proofErr w:type="spellStart"/>
      <w:r w:rsidRPr="00DB01A8">
        <w:rPr>
          <w:rFonts w:asciiTheme="majorHAnsi" w:hAnsiTheme="majorHAnsi" w:cs="Arial"/>
          <w:b/>
          <w:bCs/>
          <w:sz w:val="24"/>
          <w:szCs w:val="24"/>
        </w:rPr>
        <w:t>потребяващи</w:t>
      </w:r>
      <w:proofErr w:type="spellEnd"/>
      <w:r w:rsidRPr="00DB01A8">
        <w:rPr>
          <w:rFonts w:asciiTheme="majorHAnsi" w:hAnsiTheme="majorHAnsi" w:cs="Arial"/>
          <w:b/>
          <w:bCs/>
          <w:sz w:val="24"/>
          <w:szCs w:val="24"/>
        </w:rPr>
        <w:t xml:space="preserve"> енергия (осветление и уреди).</w:t>
      </w:r>
    </w:p>
    <w:p w:rsidR="00220CC4" w:rsidRPr="00DB01A8" w:rsidRDefault="00220CC4" w:rsidP="006E2066">
      <w:pPr>
        <w:spacing w:after="120" w:line="27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-</w:t>
      </w:r>
      <w:r w:rsidRPr="00DB01A8">
        <w:rPr>
          <w:rFonts w:asciiTheme="majorHAnsi" w:hAnsiTheme="majorHAnsi" w:cs="Arial"/>
          <w:sz w:val="24"/>
          <w:szCs w:val="24"/>
        </w:rPr>
        <w:t xml:space="preserve"> Светлинен поток за консумирана мощност на източника на светлина или светлинен добив на източника за вграждане в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осветителите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: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sz w:val="24"/>
          <w:szCs w:val="24"/>
        </w:rPr>
        <w:t>•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ab/>
      </w:r>
      <w:r w:rsidRPr="00DB01A8">
        <w:rPr>
          <w:rFonts w:asciiTheme="majorHAnsi" w:hAnsiTheme="majorHAnsi" w:cs="Arial"/>
          <w:sz w:val="24"/>
          <w:szCs w:val="24"/>
        </w:rPr>
        <w:t xml:space="preserve">Компактни флуоресцентни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не по-малко от   70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•</w:t>
      </w:r>
      <w:r w:rsidRPr="00DB01A8">
        <w:rPr>
          <w:rFonts w:asciiTheme="majorHAnsi" w:hAnsiTheme="majorHAnsi" w:cs="Arial"/>
          <w:sz w:val="24"/>
          <w:szCs w:val="24"/>
        </w:rPr>
        <w:tab/>
        <w:t xml:space="preserve">Флуоресцентни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не по-малко от  70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•</w:t>
      </w:r>
      <w:r w:rsidRPr="00DB01A8">
        <w:rPr>
          <w:rFonts w:asciiTheme="majorHAnsi" w:hAnsiTheme="majorHAnsi" w:cs="Arial"/>
          <w:sz w:val="24"/>
          <w:szCs w:val="24"/>
        </w:rPr>
        <w:tab/>
        <w:t xml:space="preserve">Натриеви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не по-малко от  120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•</w:t>
      </w:r>
      <w:r w:rsidRPr="00DB01A8">
        <w:rPr>
          <w:rFonts w:asciiTheme="majorHAnsi" w:hAnsiTheme="majorHAnsi" w:cs="Arial"/>
          <w:sz w:val="24"/>
          <w:szCs w:val="24"/>
        </w:rPr>
        <w:tab/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Метал-халогенидни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: не по-малко от  60 lm/W;</w:t>
      </w:r>
    </w:p>
    <w:p w:rsidR="00220CC4" w:rsidRPr="00DB01A8" w:rsidRDefault="00220CC4" w:rsidP="006E2066">
      <w:pPr>
        <w:spacing w:after="120" w:line="276" w:lineRule="auto"/>
        <w:ind w:firstLine="56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- Светлинен добив на източника за вграждане в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осветителите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– за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светодиодни</w:t>
      </w:r>
      <w:proofErr w:type="spellEnd"/>
      <w:r w:rsidRPr="00DB01A8">
        <w:rPr>
          <w:rFonts w:asciiTheme="majorHAnsi" w:hAnsiTheme="majorHAnsi" w:cs="Arial"/>
          <w:i/>
          <w:iCs/>
          <w:sz w:val="24"/>
          <w:szCs w:val="24"/>
        </w:rPr>
        <w:t xml:space="preserve"> -</w:t>
      </w:r>
      <w:r w:rsidRPr="00DB01A8">
        <w:rPr>
          <w:rFonts w:asciiTheme="majorHAnsi" w:hAnsiTheme="majorHAnsi" w:cs="Arial"/>
          <w:sz w:val="24"/>
          <w:szCs w:val="24"/>
        </w:rPr>
        <w:t xml:space="preserve"> не по-малко от  60 lm/W;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Енергиен клас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осветителя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– препоръчва се клас A, съгл. Регламент (ЕО) 874/2012.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Енергиен клас на баласта - съгласно Регламент (ЕО) 245/2009 и Регламент (ЕО) 347/2010.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Среден (номинален) период на работа, по време на който известен брой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отказват напълно: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Компактни флуоресцентни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: 50%  не по-малко от 20 000 часа;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Флуоресцентни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50%  не по-малко от 15 000 часа;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Натриеви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50%  не по-малко от 15 000 часа. 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lastRenderedPageBreak/>
        <w:t xml:space="preserve">Намаляване на светлинния поток - за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светодиодни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>: не повече от 30 % за не по-малко от 50 000 часа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Всички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светлотехнически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параметри на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осветителя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 се удостоверяват с протокол от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изпитвателна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лаборатория.</w:t>
      </w:r>
    </w:p>
    <w:p w:rsidR="00220CC4" w:rsidRPr="00DB01A8" w:rsidRDefault="00220CC4" w:rsidP="00F678D6">
      <w:pPr>
        <w:spacing w:after="120" w:line="276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B01A8">
        <w:rPr>
          <w:rFonts w:asciiTheme="majorHAnsi" w:hAnsiTheme="majorHAnsi" w:cs="Arial"/>
          <w:i/>
          <w:iCs/>
          <w:sz w:val="24"/>
          <w:szCs w:val="24"/>
        </w:rPr>
        <w:t xml:space="preserve">В случаите когато се ползва самостоятелно източник на светлина за директна замяна, неговите технически параметри се удостоверяват, като изрично се подчертава, че става въпрос за използван светлинен източник, а не за осветител. </w:t>
      </w:r>
    </w:p>
    <w:p w:rsidR="00220CC4" w:rsidRPr="00DB01A8" w:rsidRDefault="00220CC4" w:rsidP="00CB26FA">
      <w:pPr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220CC4" w:rsidRPr="00DB01A8" w:rsidRDefault="00220CC4" w:rsidP="00EF5754">
      <w:pPr>
        <w:ind w:firstLine="708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VII.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>ТЕКУЩ КОНТРОЛ ПО ВРЕМЕ НА СТРОИТЕЛНИЯ ПРОЦЕС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Осъществява се от: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Външен изпълнител за изпълнение на строителен надзор;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СС чрез упълномощен представител със съответните технически познания за осъществяване на контрол;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Техническите експерти на общината в качеството й на Възложител ще осъществяват проверки на място.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относно:</w:t>
      </w:r>
    </w:p>
    <w:p w:rsidR="00220CC4" w:rsidRPr="00DB01A8" w:rsidRDefault="00220CC4" w:rsidP="00EF5754">
      <w:pPr>
        <w:pStyle w:val="ListParagraph3"/>
        <w:numPr>
          <w:ilvl w:val="0"/>
          <w:numId w:val="16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съответствие на изпълняваните на обекта работи по вид и количество с одобрените строителни книжа и КСС;</w:t>
      </w:r>
    </w:p>
    <w:p w:rsidR="00220CC4" w:rsidRPr="00DB01A8" w:rsidRDefault="00220CC4" w:rsidP="00EF5754">
      <w:pPr>
        <w:pStyle w:val="ListParagraph3"/>
        <w:numPr>
          <w:ilvl w:val="0"/>
          <w:numId w:val="16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съответствие на влаганите на обекта строителни продукти с предвидените в проектосметната документация към договора – техническа спецификация, КСС, оферта на изпълнителя и др.;</w:t>
      </w:r>
    </w:p>
    <w:p w:rsidR="00220CC4" w:rsidRPr="00DB01A8" w:rsidRDefault="00220CC4" w:rsidP="00EF5754">
      <w:pPr>
        <w:pStyle w:val="ListParagraph3"/>
        <w:numPr>
          <w:ilvl w:val="0"/>
          <w:numId w:val="15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планове.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Мониторинг от страна на общините във връзка с проверката на извършените разходите за обновяване за енергийна ефективност </w:t>
      </w:r>
    </w:p>
    <w:p w:rsidR="00220CC4" w:rsidRPr="00DB01A8" w:rsidRDefault="00220CC4" w:rsidP="00EF5754">
      <w:pPr>
        <w:tabs>
          <w:tab w:val="left" w:pos="-142"/>
        </w:tabs>
        <w:snapToGrid w:val="0"/>
        <w:spacing w:after="1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B01A8">
        <w:rPr>
          <w:rFonts w:asciiTheme="majorHAnsi" w:hAnsiTheme="majorHAnsi" w:cs="Arial"/>
          <w:color w:val="000000"/>
          <w:sz w:val="24"/>
          <w:szCs w:val="24"/>
        </w:rPr>
        <w:t>Проверката на разходите ще се осъществява от експерти на общината.</w:t>
      </w:r>
    </w:p>
    <w:p w:rsidR="00220CC4" w:rsidRPr="00DB01A8" w:rsidRDefault="00220CC4" w:rsidP="00EF5754">
      <w:pPr>
        <w:pStyle w:val="af1"/>
        <w:widowControl w:val="0"/>
        <w:tabs>
          <w:tab w:val="left" w:pos="-142"/>
        </w:tabs>
        <w:snapToGrid w:val="0"/>
        <w:spacing w:after="120"/>
        <w:ind w:left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 xml:space="preserve">Контролът по отношение на разходите, извършени от ВИ има за цел да </w:t>
      </w:r>
      <w:r w:rsidRPr="00DB01A8">
        <w:rPr>
          <w:rFonts w:asciiTheme="majorHAnsi" w:hAnsiTheme="majorHAnsi" w:cs="Arial"/>
          <w:color w:val="000000"/>
          <w:lang w:val="bg-BG" w:eastAsia="en-US"/>
        </w:rPr>
        <w:t>гарантира, че финансираните продукти, работи и услуги са доставени и, че разходите по проекта са действително извършени и са в съответствие с националните правила и</w:t>
      </w:r>
      <w:r w:rsidRPr="00DB01A8">
        <w:rPr>
          <w:rFonts w:asciiTheme="majorHAnsi" w:hAnsiTheme="majorHAnsi" w:cs="Arial"/>
          <w:color w:val="000000"/>
          <w:lang w:val="bg-BG"/>
        </w:rPr>
        <w:t xml:space="preserve"> включва:</w:t>
      </w:r>
    </w:p>
    <w:p w:rsidR="00220CC4" w:rsidRPr="00DB01A8" w:rsidRDefault="00220CC4" w:rsidP="00EF5754">
      <w:pPr>
        <w:pStyle w:val="af1"/>
        <w:widowControl w:val="0"/>
        <w:tabs>
          <w:tab w:val="left" w:pos="-142"/>
        </w:tabs>
        <w:snapToGrid w:val="0"/>
        <w:spacing w:after="120"/>
        <w:ind w:left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а.)</w:t>
      </w:r>
      <w:r w:rsidRPr="00DB01A8">
        <w:rPr>
          <w:rFonts w:asciiTheme="majorHAnsi" w:hAnsiTheme="majorHAnsi" w:cs="Arial"/>
          <w:color w:val="000000"/>
          <w:lang w:val="bg-BG"/>
        </w:rPr>
        <w:tab/>
        <w:t>Извършване на 100% документални проверки: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3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 xml:space="preserve">проверка на оригинални </w:t>
      </w:r>
      <w:proofErr w:type="spellStart"/>
      <w:r w:rsidRPr="00DB01A8">
        <w:rPr>
          <w:rFonts w:asciiTheme="majorHAnsi" w:hAnsiTheme="majorHAnsi" w:cs="Arial"/>
          <w:color w:val="000000"/>
          <w:lang w:val="bg-BG"/>
        </w:rPr>
        <w:t>разходооправдателни</w:t>
      </w:r>
      <w:proofErr w:type="spellEnd"/>
      <w:r w:rsidRPr="00DB01A8">
        <w:rPr>
          <w:rFonts w:asciiTheme="majorHAnsi" w:hAnsiTheme="majorHAnsi" w:cs="Arial"/>
          <w:color w:val="000000"/>
          <w:lang w:val="bg-BG"/>
        </w:rPr>
        <w:t xml:space="preserve"> документи за доказване на реалното изпълнение на дейността, вкл. реквизити, съгласно действащото законодателство;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3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lastRenderedPageBreak/>
        <w:t xml:space="preserve">проверка на съпътстващи документи с </w:t>
      </w:r>
      <w:proofErr w:type="spellStart"/>
      <w:r w:rsidRPr="00DB01A8">
        <w:rPr>
          <w:rFonts w:asciiTheme="majorHAnsi" w:hAnsiTheme="majorHAnsi" w:cs="Arial"/>
          <w:color w:val="000000"/>
          <w:lang w:val="bg-BG"/>
        </w:rPr>
        <w:t>доказателствен</w:t>
      </w:r>
      <w:proofErr w:type="spellEnd"/>
      <w:r w:rsidRPr="00DB01A8">
        <w:rPr>
          <w:rFonts w:asciiTheme="majorHAnsi" w:hAnsiTheme="majorHAnsi" w:cs="Arial"/>
          <w:color w:val="000000"/>
          <w:lang w:val="bg-BG"/>
        </w:rPr>
        <w:t xml:space="preserve"> характер. 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3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за аритметични грешки.</w:t>
      </w:r>
    </w:p>
    <w:p w:rsidR="00220CC4" w:rsidRPr="00DB01A8" w:rsidRDefault="00220CC4" w:rsidP="00EF5754">
      <w:pPr>
        <w:pStyle w:val="af1"/>
        <w:widowControl w:val="0"/>
        <w:tabs>
          <w:tab w:val="left" w:pos="-142"/>
        </w:tabs>
        <w:snapToGrid w:val="0"/>
        <w:spacing w:after="120"/>
        <w:ind w:left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б.)</w:t>
      </w:r>
      <w:r w:rsidRPr="00DB01A8">
        <w:rPr>
          <w:rFonts w:asciiTheme="majorHAnsi" w:hAnsiTheme="majorHAnsi" w:cs="Arial"/>
          <w:color w:val="000000"/>
          <w:lang w:val="bg-BG"/>
        </w:rPr>
        <w:tab/>
        <w:t>Извършване на 100% проверки на място.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на съответствието на реално изпълнени СМР с работните проекти и всички изменения в тях, одобрени от общината;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(от страна на СС) количества и тези по КСС;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ефективност;</w:t>
      </w:r>
    </w:p>
    <w:p w:rsidR="00220CC4" w:rsidRPr="00DB01A8" w:rsidRDefault="00220CC4" w:rsidP="00EF5754">
      <w:pPr>
        <w:pStyle w:val="af1"/>
        <w:widowControl w:val="0"/>
        <w:numPr>
          <w:ilvl w:val="0"/>
          <w:numId w:val="14"/>
        </w:numPr>
        <w:tabs>
          <w:tab w:val="left" w:pos="-142"/>
        </w:tabs>
        <w:snapToGrid w:val="0"/>
        <w:spacing w:after="120"/>
        <w:ind w:left="0" w:firstLine="0"/>
        <w:rPr>
          <w:rFonts w:asciiTheme="majorHAnsi" w:hAnsiTheme="majorHAnsi" w:cs="Arial"/>
          <w:color w:val="000000"/>
          <w:lang w:val="bg-BG"/>
        </w:rPr>
      </w:pPr>
      <w:r w:rsidRPr="00DB01A8">
        <w:rPr>
          <w:rFonts w:asciiTheme="majorHAnsi" w:hAnsiTheme="majorHAnsi" w:cs="Arial"/>
          <w:color w:val="000000"/>
          <w:lang w:val="bg-BG"/>
        </w:rPr>
        <w:t>проверка на сроковете на изпълнение в съответствие с приетите графици.</w:t>
      </w:r>
    </w:p>
    <w:p w:rsidR="00220CC4" w:rsidRPr="00DB01A8" w:rsidRDefault="00220CC4" w:rsidP="00EF5754">
      <w:pPr>
        <w:tabs>
          <w:tab w:val="left" w:pos="-142"/>
        </w:tabs>
        <w:jc w:val="both"/>
        <w:rPr>
          <w:rFonts w:asciiTheme="majorHAnsi" w:eastAsia="Batang" w:hAnsiTheme="majorHAnsi"/>
          <w:b/>
          <w:bCs/>
          <w:sz w:val="24"/>
          <w:szCs w:val="24"/>
          <w:lang w:val="ru-RU"/>
        </w:rPr>
      </w:pPr>
    </w:p>
    <w:p w:rsidR="00220CC4" w:rsidRPr="00DB01A8" w:rsidRDefault="00220CC4" w:rsidP="00EF5754">
      <w:pPr>
        <w:tabs>
          <w:tab w:val="left" w:pos="-142"/>
        </w:tabs>
        <w:spacing w:line="276" w:lineRule="auto"/>
        <w:ind w:right="23"/>
        <w:rPr>
          <w:rFonts w:asciiTheme="majorHAnsi" w:hAnsiTheme="majorHAnsi" w:cs="Arial"/>
          <w:b/>
          <w:bCs/>
          <w:sz w:val="24"/>
          <w:szCs w:val="24"/>
        </w:rPr>
      </w:pP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ab/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  <w:lang w:val="en-US"/>
        </w:rPr>
        <w:t>VIII.</w:t>
      </w:r>
      <w:r w:rsidRPr="00DB01A8">
        <w:rPr>
          <w:rFonts w:asciiTheme="majorHAnsi" w:hAnsiTheme="majorHAnsi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B01A8">
        <w:rPr>
          <w:rFonts w:asciiTheme="majorHAnsi" w:hAnsiTheme="majorHAnsi" w:cs="Arial"/>
          <w:b/>
          <w:bCs/>
          <w:sz w:val="24"/>
          <w:szCs w:val="24"/>
        </w:rPr>
        <w:t>Гаранционни срокове</w:t>
      </w:r>
    </w:p>
    <w:p w:rsidR="00220CC4" w:rsidRPr="00DB01A8" w:rsidRDefault="00220CC4" w:rsidP="00EF5754">
      <w:pPr>
        <w:tabs>
          <w:tab w:val="left" w:pos="-142"/>
        </w:tabs>
        <w:spacing w:line="276" w:lineRule="auto"/>
        <w:ind w:right="23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220CC4" w:rsidRPr="00DB01A8" w:rsidRDefault="00220CC4" w:rsidP="00EF5754">
      <w:pPr>
        <w:tabs>
          <w:tab w:val="left" w:pos="-142"/>
        </w:tabs>
        <w:spacing w:line="276" w:lineRule="auto"/>
        <w:ind w:right="23"/>
        <w:jc w:val="both"/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 xml:space="preserve">Участниците трябва да предложат гаранционни срокове за изпълнените строителни работи, които не могат да бъдат по-малки от предвидените в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proofErr w:type="spellStart"/>
      <w:r w:rsidRPr="00DB01A8">
        <w:rPr>
          <w:rFonts w:asciiTheme="majorHAnsi" w:hAnsiTheme="majorHAnsi" w:cs="Arial"/>
          <w:sz w:val="24"/>
          <w:szCs w:val="24"/>
        </w:rPr>
        <w:t>съоражнения</w:t>
      </w:r>
      <w:proofErr w:type="spellEnd"/>
      <w:r w:rsidRPr="00DB01A8">
        <w:rPr>
          <w:rFonts w:asciiTheme="majorHAnsi" w:hAnsiTheme="majorHAnsi" w:cs="Arial"/>
          <w:sz w:val="24"/>
          <w:szCs w:val="24"/>
        </w:rPr>
        <w:t xml:space="preserve"> и строителни обекти.</w:t>
      </w:r>
    </w:p>
    <w:p w:rsidR="00220CC4" w:rsidRDefault="00220CC4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p w:rsidR="006118D6" w:rsidRPr="00DB01A8" w:rsidRDefault="006118D6" w:rsidP="006118D6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  <w:r w:rsidRPr="00DB01A8">
        <w:rPr>
          <w:rFonts w:asciiTheme="majorHAnsi" w:hAnsiTheme="majorHAnsi" w:cs="Arial"/>
          <w:sz w:val="24"/>
          <w:szCs w:val="24"/>
        </w:rPr>
        <w:t>ИЗГОТВИЛ:</w:t>
      </w:r>
      <w:r w:rsidR="00D90607">
        <w:rPr>
          <w:rFonts w:asciiTheme="majorHAnsi" w:hAnsiTheme="majorHAnsi" w:cs="Arial"/>
          <w:sz w:val="24"/>
          <w:szCs w:val="24"/>
        </w:rPr>
        <w:t xml:space="preserve"> /п/</w:t>
      </w:r>
    </w:p>
    <w:p w:rsidR="006118D6" w:rsidRPr="00DB01A8" w:rsidRDefault="006118D6" w:rsidP="006118D6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6118D6" w:rsidRPr="00DB01A8" w:rsidRDefault="006118D6" w:rsidP="006118D6">
      <w:pPr>
        <w:tabs>
          <w:tab w:val="left" w:pos="2745"/>
        </w:tabs>
        <w:rPr>
          <w:rFonts w:asciiTheme="majorHAnsi" w:hAnsiTheme="majorHAnsi" w:cs="Arial"/>
          <w:sz w:val="24"/>
          <w:szCs w:val="24"/>
        </w:rPr>
      </w:pPr>
    </w:p>
    <w:p w:rsidR="006118D6" w:rsidRPr="006118D6" w:rsidRDefault="006118D6" w:rsidP="00A66D83">
      <w:pPr>
        <w:tabs>
          <w:tab w:val="left" w:pos="2745"/>
        </w:tabs>
        <w:rPr>
          <w:rFonts w:asciiTheme="majorHAnsi" w:hAnsiTheme="majorHAnsi" w:cs="Arial"/>
          <w:sz w:val="24"/>
          <w:szCs w:val="24"/>
          <w:lang w:val="en-US"/>
        </w:rPr>
      </w:pPr>
    </w:p>
    <w:sectPr w:rsidR="006118D6" w:rsidRPr="006118D6" w:rsidSect="009101EB">
      <w:headerReference w:type="default" r:id="rId11"/>
      <w:pgSz w:w="11906" w:h="16838"/>
      <w:pgMar w:top="66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E4" w:rsidRDefault="00085FE4" w:rsidP="00AA374B">
      <w:r>
        <w:separator/>
      </w:r>
    </w:p>
  </w:endnote>
  <w:endnote w:type="continuationSeparator" w:id="0">
    <w:p w:rsidR="00085FE4" w:rsidRDefault="00085FE4" w:rsidP="00AA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E4" w:rsidRDefault="00085FE4" w:rsidP="00AA374B">
      <w:r>
        <w:separator/>
      </w:r>
    </w:p>
  </w:footnote>
  <w:footnote w:type="continuationSeparator" w:id="0">
    <w:p w:rsidR="00085FE4" w:rsidRDefault="00085FE4" w:rsidP="00AA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64" w:rsidRDefault="00D51264" w:rsidP="00AA374B">
    <w:pPr>
      <w:pStyle w:val="a3"/>
      <w:tabs>
        <w:tab w:val="clear" w:pos="9072"/>
        <w:tab w:val="right" w:pos="9180"/>
      </w:tabs>
      <w:jc w:val="center"/>
    </w:pPr>
    <w:r>
      <w:rPr>
        <w:noProof/>
      </w:rPr>
      <w:drawing>
        <wp:inline distT="0" distB="0" distL="0" distR="0">
          <wp:extent cx="5381625" cy="10096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cs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55B7472"/>
    <w:multiLevelType w:val="hybridMultilevel"/>
    <w:tmpl w:val="FA343E40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3">
    <w:nsid w:val="180E785F"/>
    <w:multiLevelType w:val="hybridMultilevel"/>
    <w:tmpl w:val="6402F7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3D949F5"/>
    <w:multiLevelType w:val="hybridMultilevel"/>
    <w:tmpl w:val="F2E49600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F4341B4"/>
    <w:multiLevelType w:val="hybridMultilevel"/>
    <w:tmpl w:val="96E44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DE5968"/>
    <w:multiLevelType w:val="hybridMultilevel"/>
    <w:tmpl w:val="A5B6E336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8">
    <w:nsid w:val="4CDE35AC"/>
    <w:multiLevelType w:val="hybridMultilevel"/>
    <w:tmpl w:val="A7CE0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0C0301"/>
    <w:multiLevelType w:val="hybridMultilevel"/>
    <w:tmpl w:val="D1E4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61185F"/>
    <w:multiLevelType w:val="hybridMultilevel"/>
    <w:tmpl w:val="F4FAD1F8"/>
    <w:lvl w:ilvl="0" w:tplc="AB2428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6E1E3257"/>
    <w:multiLevelType w:val="hybridMultilevel"/>
    <w:tmpl w:val="D75C7254"/>
    <w:lvl w:ilvl="0" w:tplc="BFF6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0472547"/>
    <w:multiLevelType w:val="hybridMultilevel"/>
    <w:tmpl w:val="836E7DF8"/>
    <w:lvl w:ilvl="0" w:tplc="EAE62C2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F69D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BA8FE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D6ADBC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7C8A1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C6252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73DAFA9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D64C4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F47E8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4F65B34"/>
    <w:multiLevelType w:val="hybridMultilevel"/>
    <w:tmpl w:val="CD70D354"/>
    <w:lvl w:ilvl="0" w:tplc="0409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abstractNum w:abstractNumId="16">
    <w:nsid w:val="79904B7E"/>
    <w:multiLevelType w:val="hybridMultilevel"/>
    <w:tmpl w:val="B686E682"/>
    <w:lvl w:ilvl="0" w:tplc="B26EB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6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9"/>
  <w:drawingGridVerticalSpacing w:val="119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A374B"/>
    <w:rsid w:val="00080014"/>
    <w:rsid w:val="000827BE"/>
    <w:rsid w:val="00085FE4"/>
    <w:rsid w:val="000A3D90"/>
    <w:rsid w:val="001547CC"/>
    <w:rsid w:val="00220CC4"/>
    <w:rsid w:val="003A1098"/>
    <w:rsid w:val="003C48BB"/>
    <w:rsid w:val="00456674"/>
    <w:rsid w:val="004E3BD3"/>
    <w:rsid w:val="0052085B"/>
    <w:rsid w:val="005C603E"/>
    <w:rsid w:val="006118D6"/>
    <w:rsid w:val="006367BD"/>
    <w:rsid w:val="006451F5"/>
    <w:rsid w:val="00667D46"/>
    <w:rsid w:val="00686DD3"/>
    <w:rsid w:val="006A7B7E"/>
    <w:rsid w:val="006C627E"/>
    <w:rsid w:val="006E2066"/>
    <w:rsid w:val="007037A1"/>
    <w:rsid w:val="0071520D"/>
    <w:rsid w:val="00753C6E"/>
    <w:rsid w:val="007A7519"/>
    <w:rsid w:val="007D569B"/>
    <w:rsid w:val="00853B02"/>
    <w:rsid w:val="00856657"/>
    <w:rsid w:val="0087758D"/>
    <w:rsid w:val="009101EB"/>
    <w:rsid w:val="00A110E2"/>
    <w:rsid w:val="00A6059A"/>
    <w:rsid w:val="00A66D83"/>
    <w:rsid w:val="00A80590"/>
    <w:rsid w:val="00AA374B"/>
    <w:rsid w:val="00B10947"/>
    <w:rsid w:val="00B62709"/>
    <w:rsid w:val="00B74679"/>
    <w:rsid w:val="00B76F8E"/>
    <w:rsid w:val="00C51966"/>
    <w:rsid w:val="00CA2381"/>
    <w:rsid w:val="00CB26FA"/>
    <w:rsid w:val="00CE5665"/>
    <w:rsid w:val="00D51264"/>
    <w:rsid w:val="00D90607"/>
    <w:rsid w:val="00DB01A8"/>
    <w:rsid w:val="00DF4DF3"/>
    <w:rsid w:val="00DF4F15"/>
    <w:rsid w:val="00EF5754"/>
    <w:rsid w:val="00F23438"/>
    <w:rsid w:val="00F4188C"/>
    <w:rsid w:val="00F44182"/>
    <w:rsid w:val="00F6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467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locked/>
    <w:rsid w:val="00B74679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AA37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AA374B"/>
  </w:style>
  <w:style w:type="paragraph" w:styleId="a5">
    <w:name w:val="footer"/>
    <w:basedOn w:val="a"/>
    <w:link w:val="a6"/>
    <w:uiPriority w:val="99"/>
    <w:semiHidden/>
    <w:rsid w:val="00AA37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AA374B"/>
  </w:style>
  <w:style w:type="paragraph" w:styleId="a7">
    <w:name w:val="Balloon Text"/>
    <w:basedOn w:val="a"/>
    <w:link w:val="a8"/>
    <w:uiPriority w:val="99"/>
    <w:semiHidden/>
    <w:rsid w:val="00AA37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AA37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74679"/>
    <w:pPr>
      <w:shd w:val="clear" w:color="auto" w:fill="FFFFFF"/>
      <w:autoSpaceDE/>
      <w:autoSpaceDN/>
      <w:adjustRightInd/>
      <w:spacing w:before="1020" w:line="394" w:lineRule="exact"/>
      <w:ind w:hanging="380"/>
    </w:pPr>
    <w:rPr>
      <w:rFonts w:eastAsia="Calibri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1"/>
    <w:uiPriority w:val="99"/>
    <w:locked/>
    <w:rsid w:val="00B7467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B74679"/>
  </w:style>
  <w:style w:type="character" w:customStyle="1" w:styleId="31">
    <w:name w:val="Заголовок №3_"/>
    <w:basedOn w:val="a0"/>
    <w:link w:val="310"/>
    <w:uiPriority w:val="99"/>
    <w:locked/>
    <w:rsid w:val="00B7467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74679"/>
    <w:pPr>
      <w:shd w:val="clear" w:color="auto" w:fill="FFFFFF"/>
      <w:autoSpaceDE/>
      <w:autoSpaceDN/>
      <w:adjustRightInd/>
      <w:spacing w:before="240" w:after="240" w:line="274" w:lineRule="exact"/>
      <w:ind w:hanging="720"/>
      <w:jc w:val="both"/>
    </w:pPr>
    <w:rPr>
      <w:rFonts w:eastAsia="Calibri"/>
      <w:i/>
      <w:iCs/>
      <w:sz w:val="23"/>
      <w:szCs w:val="23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B74679"/>
    <w:pPr>
      <w:shd w:val="clear" w:color="auto" w:fill="FFFFFF"/>
      <w:autoSpaceDE/>
      <w:autoSpaceDN/>
      <w:adjustRightInd/>
      <w:spacing w:before="240" w:line="274" w:lineRule="exact"/>
      <w:ind w:hanging="360"/>
      <w:jc w:val="both"/>
      <w:outlineLvl w:val="2"/>
    </w:pPr>
    <w:rPr>
      <w:rFonts w:eastAsia="Calibri"/>
      <w:sz w:val="23"/>
      <w:szCs w:val="23"/>
      <w:lang w:eastAsia="en-US"/>
    </w:rPr>
  </w:style>
  <w:style w:type="paragraph" w:customStyle="1" w:styleId="CharChar15CharChar">
    <w:name w:val="Char Char15 Знак Знак Char Char Знак Знак"/>
    <w:basedOn w:val="a"/>
    <w:uiPriority w:val="99"/>
    <w:semiHidden/>
    <w:rsid w:val="00B62709"/>
    <w:pPr>
      <w:widowControl/>
      <w:tabs>
        <w:tab w:val="left" w:pos="709"/>
      </w:tabs>
      <w:autoSpaceDE/>
      <w:autoSpaceDN/>
      <w:adjustRightInd/>
    </w:pPr>
    <w:rPr>
      <w:rFonts w:ascii="Futura Bk" w:hAnsi="Futura Bk" w:cs="Futura Bk"/>
      <w:sz w:val="24"/>
      <w:szCs w:val="24"/>
      <w:lang w:val="pl-PL" w:eastAsia="pl-PL"/>
    </w:rPr>
  </w:style>
  <w:style w:type="character" w:styleId="aa">
    <w:name w:val="Hyperlink"/>
    <w:basedOn w:val="a0"/>
    <w:uiPriority w:val="99"/>
    <w:rsid w:val="00B62709"/>
    <w:rPr>
      <w:color w:val="0000FF"/>
      <w:u w:val="single"/>
    </w:rPr>
  </w:style>
  <w:style w:type="character" w:customStyle="1" w:styleId="2">
    <w:name w:val="Основен текст (2)_"/>
    <w:basedOn w:val="a0"/>
    <w:link w:val="21"/>
    <w:uiPriority w:val="99"/>
    <w:locked/>
    <w:rsid w:val="00B62709"/>
    <w:rPr>
      <w:b/>
      <w:bCs/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B62709"/>
    <w:pPr>
      <w:shd w:val="clear" w:color="auto" w:fill="FFFFFF"/>
      <w:autoSpaceDE/>
      <w:autoSpaceDN/>
      <w:adjustRightInd/>
      <w:spacing w:after="120" w:line="240" w:lineRule="atLeast"/>
      <w:ind w:hanging="340"/>
      <w:jc w:val="center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B62709"/>
  </w:style>
  <w:style w:type="paragraph" w:styleId="ab">
    <w:name w:val="Normal (Web)"/>
    <w:basedOn w:val="a"/>
    <w:uiPriority w:val="99"/>
    <w:rsid w:val="00B62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B62709"/>
    <w:rPr>
      <w:b/>
      <w:bCs/>
    </w:rPr>
  </w:style>
  <w:style w:type="paragraph" w:styleId="ad">
    <w:name w:val="caption"/>
    <w:basedOn w:val="a"/>
    <w:next w:val="a"/>
    <w:uiPriority w:val="99"/>
    <w:qFormat/>
    <w:rsid w:val="00B62709"/>
    <w:pPr>
      <w:spacing w:after="200"/>
    </w:pPr>
    <w:rPr>
      <w:b/>
      <w:bCs/>
      <w:color w:val="4F81BD"/>
      <w:sz w:val="18"/>
      <w:szCs w:val="18"/>
    </w:rPr>
  </w:style>
  <w:style w:type="paragraph" w:customStyle="1" w:styleId="FR1">
    <w:name w:val="FR1"/>
    <w:uiPriority w:val="99"/>
    <w:rsid w:val="00C51966"/>
    <w:pPr>
      <w:widowControl w:val="0"/>
      <w:spacing w:before="20"/>
      <w:ind w:left="1920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styleId="ae">
    <w:name w:val="List Paragraph"/>
    <w:basedOn w:val="a"/>
    <w:uiPriority w:val="99"/>
    <w:qFormat/>
    <w:rsid w:val="00F678D6"/>
    <w:pPr>
      <w:ind w:left="720"/>
    </w:pPr>
  </w:style>
  <w:style w:type="paragraph" w:styleId="af">
    <w:name w:val="Subtitle"/>
    <w:basedOn w:val="a"/>
    <w:link w:val="af0"/>
    <w:uiPriority w:val="99"/>
    <w:qFormat/>
    <w:rsid w:val="006E2066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f0">
    <w:name w:val="Подзаглавие Знак"/>
    <w:basedOn w:val="a0"/>
    <w:link w:val="af"/>
    <w:uiPriority w:val="99"/>
    <w:locked/>
    <w:rsid w:val="006E2066"/>
    <w:rPr>
      <w:rFonts w:ascii="Times New Roman" w:hAnsi="Times New Roman" w:cs="Times New Roman"/>
      <w:b/>
      <w:bCs/>
      <w:sz w:val="20"/>
      <w:szCs w:val="20"/>
    </w:rPr>
  </w:style>
  <w:style w:type="paragraph" w:customStyle="1" w:styleId="ListParagraph3">
    <w:name w:val="List Paragraph3"/>
    <w:basedOn w:val="a"/>
    <w:uiPriority w:val="99"/>
    <w:rsid w:val="00EF5754"/>
    <w:pPr>
      <w:widowControl/>
      <w:autoSpaceDE/>
      <w:autoSpaceDN/>
      <w:adjustRightInd/>
      <w:ind w:left="720"/>
      <w:jc w:val="both"/>
    </w:pPr>
    <w:rPr>
      <w:rFonts w:eastAsia="Calibri"/>
      <w:sz w:val="28"/>
      <w:szCs w:val="28"/>
    </w:rPr>
  </w:style>
  <w:style w:type="paragraph" w:styleId="af1">
    <w:name w:val="Normal Indent"/>
    <w:basedOn w:val="a"/>
    <w:uiPriority w:val="99"/>
    <w:rsid w:val="00EF5754"/>
    <w:pPr>
      <w:widowControl/>
      <w:autoSpaceDE/>
      <w:autoSpaceDN/>
      <w:adjustRightInd/>
      <w:spacing w:after="240"/>
      <w:ind w:left="720"/>
      <w:jc w:val="both"/>
    </w:pPr>
    <w:rPr>
      <w:rFonts w:eastAsia="Calibri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ina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agyurishte.nit.bg/sbirane-na-oferti-s-obyava-ili-pokani-doopredeleni-licza/merki-za-energijna-efektivnost-na-mszh-v-gr.-panagyurishhe,-ul.-georgi-benkovski-%E2%84%9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a.panagyurish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9692</Words>
  <Characters>55249</Characters>
  <Application>Microsoft Office Word</Application>
  <DocSecurity>0</DocSecurity>
  <Lines>460</Lines>
  <Paragraphs>129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2016-08-10T16:37:00Z</dcterms:created>
  <dcterms:modified xsi:type="dcterms:W3CDTF">2016-09-07T13:51:00Z</dcterms:modified>
</cp:coreProperties>
</file>